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BDE60" w14:textId="77777777" w:rsidR="00973242" w:rsidRPr="00A21DBC" w:rsidRDefault="00CE3A29" w:rsidP="00A21DBC">
      <w:pPr>
        <w:pStyle w:val="Heading1"/>
        <w:rPr>
          <w:rFonts w:ascii="Calibri Light" w:hAnsi="Calibri Light" w:cs="Calibri Light"/>
          <w:b w:val="0"/>
          <w:bCs w:val="0"/>
          <w:sz w:val="32"/>
          <w:szCs w:val="32"/>
        </w:rPr>
      </w:pPr>
      <w:r w:rsidRPr="00A21DBC">
        <w:rPr>
          <w:rFonts w:ascii="Calibri Light" w:hAnsi="Calibri Light" w:cs="Calibri Light"/>
          <w:b w:val="0"/>
          <w:bCs w:val="0"/>
          <w:sz w:val="32"/>
          <w:szCs w:val="32"/>
        </w:rPr>
        <w:t>Appendix A Section 3</w:t>
      </w:r>
      <w:r w:rsidR="00931078" w:rsidRPr="00A21DBC">
        <w:rPr>
          <w:rFonts w:ascii="Calibri Light" w:hAnsi="Calibri Light" w:cs="Calibri Light"/>
          <w:b w:val="0"/>
          <w:bCs w:val="0"/>
          <w:sz w:val="32"/>
          <w:szCs w:val="32"/>
        </w:rPr>
        <w:t xml:space="preserve"> - </w:t>
      </w:r>
      <w:r w:rsidRPr="00A21DBC">
        <w:rPr>
          <w:rFonts w:ascii="Calibri Light" w:hAnsi="Calibri Light" w:cs="Calibri Light"/>
          <w:b w:val="0"/>
          <w:bCs w:val="0"/>
          <w:sz w:val="32"/>
          <w:szCs w:val="32"/>
        </w:rPr>
        <w:t>Definition and Classification Guidance</w:t>
      </w:r>
    </w:p>
    <w:p w14:paraId="3DDEBA41" w14:textId="77777777" w:rsidR="002B145D" w:rsidRPr="009317EE" w:rsidRDefault="00CE3A29">
      <w:pPr>
        <w:jc w:val="center"/>
        <w:rPr>
          <w:rFonts w:asciiTheme="minorHAnsi" w:hAnsiTheme="minorHAnsi" w:cs="Calibri"/>
          <w:sz w:val="22"/>
        </w:rPr>
      </w:pPr>
      <w:r w:rsidRPr="009317EE">
        <w:rPr>
          <w:rFonts w:asciiTheme="minorHAnsi" w:hAnsiTheme="minorHAnsi" w:cs="Calibri"/>
          <w:i/>
          <w:sz w:val="22"/>
        </w:rPr>
        <w:t>Deciding whether a report is capable of engaging the GBV pathway</w:t>
      </w:r>
    </w:p>
    <w:tbl>
      <w:tblPr>
        <w:tblStyle w:val="TableGrid"/>
        <w:tblW w:w="0" w:type="auto"/>
        <w:jc w:val="center"/>
        <w:tblLook w:val="04A0" w:firstRow="1" w:lastRow="0" w:firstColumn="1" w:lastColumn="0" w:noHBand="0" w:noVBand="1"/>
      </w:tblPr>
      <w:tblGrid>
        <w:gridCol w:w="5035"/>
        <w:gridCol w:w="5035"/>
      </w:tblGrid>
      <w:tr w:rsidR="002B145D" w:rsidRPr="009317EE" w14:paraId="288273AF" w14:textId="77777777" w:rsidTr="00E01423">
        <w:trPr>
          <w:jc w:val="center"/>
        </w:trPr>
        <w:tc>
          <w:tcPr>
            <w:tcW w:w="5040" w:type="dxa"/>
            <w:shd w:val="clear" w:color="auto" w:fill="E7E6E6"/>
          </w:tcPr>
          <w:p w14:paraId="249C1DFE" w14:textId="77777777" w:rsidR="002B145D" w:rsidRPr="009317EE" w:rsidRDefault="00CE3A29">
            <w:pPr>
              <w:rPr>
                <w:rFonts w:asciiTheme="minorHAnsi" w:hAnsiTheme="minorHAnsi" w:cs="Calibri"/>
                <w:sz w:val="22"/>
              </w:rPr>
            </w:pPr>
            <w:r w:rsidRPr="009317EE">
              <w:rPr>
                <w:rFonts w:asciiTheme="minorHAnsi" w:hAnsiTheme="minorHAnsi" w:cs="Calibri"/>
                <w:sz w:val="22"/>
              </w:rPr>
              <w:t>Document status</w:t>
            </w:r>
          </w:p>
        </w:tc>
        <w:tc>
          <w:tcPr>
            <w:tcW w:w="5040" w:type="dxa"/>
          </w:tcPr>
          <w:p w14:paraId="44E284F2" w14:textId="6E6488D2" w:rsidR="002B145D" w:rsidRDefault="00CE3A29">
            <w:pPr>
              <w:rPr>
                <w:rFonts w:asciiTheme="minorHAnsi" w:hAnsiTheme="minorHAnsi" w:cs="Calibri"/>
                <w:sz w:val="22"/>
              </w:rPr>
            </w:pPr>
            <w:r w:rsidRPr="009317EE">
              <w:rPr>
                <w:rFonts w:asciiTheme="minorHAnsi" w:hAnsiTheme="minorHAnsi" w:cs="Calibri"/>
                <w:sz w:val="22"/>
              </w:rPr>
              <w:t>Supporting guidance for GBV Initial Triage and Pathway Decision Form (legal-advice aligned)</w:t>
            </w:r>
          </w:p>
          <w:p w14:paraId="14374C9A" w14:textId="0A882C73" w:rsidR="00102C27" w:rsidRPr="009317EE" w:rsidRDefault="00102C27">
            <w:pPr>
              <w:rPr>
                <w:rFonts w:asciiTheme="minorHAnsi" w:hAnsiTheme="minorHAnsi" w:cs="Calibri"/>
                <w:sz w:val="22"/>
              </w:rPr>
            </w:pPr>
            <w:r w:rsidRPr="00102C27">
              <w:rPr>
                <w:rFonts w:asciiTheme="minorHAnsi" w:hAnsiTheme="minorHAnsi" w:cs="Calibri"/>
                <w:sz w:val="22"/>
              </w:rPr>
              <w:t>This guidance must not be completed as, or appended with, a case-specific assessment record.</w:t>
            </w:r>
          </w:p>
        </w:tc>
      </w:tr>
      <w:tr w:rsidR="002B145D" w:rsidRPr="009317EE" w14:paraId="4C1988B6" w14:textId="77777777" w:rsidTr="00E01423">
        <w:trPr>
          <w:jc w:val="center"/>
        </w:trPr>
        <w:tc>
          <w:tcPr>
            <w:tcW w:w="5040" w:type="dxa"/>
            <w:shd w:val="clear" w:color="auto" w:fill="E7E6E6"/>
          </w:tcPr>
          <w:p w14:paraId="2F9CBBD8" w14:textId="77777777" w:rsidR="002B145D" w:rsidRPr="009317EE" w:rsidRDefault="00CE3A29">
            <w:pPr>
              <w:rPr>
                <w:rFonts w:asciiTheme="minorHAnsi" w:hAnsiTheme="minorHAnsi" w:cstheme="majorHAnsi"/>
                <w:sz w:val="22"/>
              </w:rPr>
            </w:pPr>
            <w:r w:rsidRPr="009317EE">
              <w:rPr>
                <w:rFonts w:asciiTheme="minorHAnsi" w:hAnsiTheme="minorHAnsi" w:cs="Calibri"/>
                <w:sz w:val="22"/>
              </w:rPr>
              <w:t>Use point</w:t>
            </w:r>
          </w:p>
        </w:tc>
        <w:tc>
          <w:tcPr>
            <w:tcW w:w="5040" w:type="dxa"/>
          </w:tcPr>
          <w:p w14:paraId="58FC7999" w14:textId="77777777" w:rsidR="00102C27" w:rsidRDefault="00CE3A29">
            <w:pPr>
              <w:rPr>
                <w:rFonts w:asciiTheme="minorHAnsi" w:hAnsiTheme="minorHAnsi" w:cs="Calibri"/>
                <w:sz w:val="22"/>
              </w:rPr>
            </w:pPr>
            <w:r w:rsidRPr="009317EE">
              <w:rPr>
                <w:rFonts w:asciiTheme="minorHAnsi" w:hAnsiTheme="minorHAnsi" w:cs="Calibri"/>
                <w:sz w:val="22"/>
              </w:rPr>
              <w:t>Appendix A, Section 1A triage questions / Section 3 - Working definition and classification lens</w:t>
            </w:r>
            <w:r w:rsidR="00102C27">
              <w:rPr>
                <w:rFonts w:asciiTheme="minorHAnsi" w:hAnsiTheme="minorHAnsi" w:cs="Calibri"/>
                <w:sz w:val="22"/>
              </w:rPr>
              <w:t>.</w:t>
            </w:r>
          </w:p>
          <w:p w14:paraId="2ADF1AF2" w14:textId="68D1D811" w:rsidR="002B145D" w:rsidRPr="009317EE" w:rsidRDefault="00102C27">
            <w:pPr>
              <w:rPr>
                <w:rFonts w:asciiTheme="minorHAnsi" w:hAnsiTheme="minorHAnsi" w:cs="Calibri"/>
                <w:sz w:val="22"/>
              </w:rPr>
            </w:pPr>
            <w:r w:rsidRPr="00102C27">
              <w:rPr>
                <w:rFonts w:asciiTheme="minorHAnsi" w:hAnsiTheme="minorHAnsi" w:cs="Calibri"/>
                <w:sz w:val="22"/>
              </w:rPr>
              <w:t>Use this document while completing Appendix A. Do not create a second completed case form from this guidance.</w:t>
            </w:r>
          </w:p>
        </w:tc>
      </w:tr>
      <w:tr w:rsidR="002B145D" w:rsidRPr="009317EE" w14:paraId="1D095F50" w14:textId="77777777" w:rsidTr="00E01423">
        <w:trPr>
          <w:jc w:val="center"/>
        </w:trPr>
        <w:tc>
          <w:tcPr>
            <w:tcW w:w="5040" w:type="dxa"/>
            <w:shd w:val="clear" w:color="auto" w:fill="E7E6E6"/>
          </w:tcPr>
          <w:p w14:paraId="0A9E7CF2" w14:textId="77777777" w:rsidR="002B145D" w:rsidRPr="009317EE" w:rsidRDefault="00CE3A29">
            <w:pPr>
              <w:rPr>
                <w:rFonts w:asciiTheme="minorHAnsi" w:hAnsiTheme="minorHAnsi" w:cs="Calibri"/>
                <w:sz w:val="22"/>
              </w:rPr>
            </w:pPr>
            <w:r w:rsidRPr="009317EE">
              <w:rPr>
                <w:rFonts w:asciiTheme="minorHAnsi" w:hAnsiTheme="minorHAnsi" w:cs="Calibri"/>
                <w:sz w:val="22"/>
              </w:rPr>
              <w:t>Reference in Appendix A</w:t>
            </w:r>
          </w:p>
        </w:tc>
        <w:tc>
          <w:tcPr>
            <w:tcW w:w="5040" w:type="dxa"/>
          </w:tcPr>
          <w:p w14:paraId="7D2C06AF" w14:textId="77777777" w:rsidR="002B145D" w:rsidRPr="009317EE" w:rsidRDefault="00CE3A29">
            <w:pPr>
              <w:rPr>
                <w:rFonts w:asciiTheme="minorHAnsi" w:hAnsiTheme="minorHAnsi" w:cs="Calibri"/>
                <w:sz w:val="22"/>
              </w:rPr>
            </w:pPr>
            <w:r w:rsidRPr="009317EE">
              <w:rPr>
                <w:rFonts w:asciiTheme="minorHAnsi" w:hAnsiTheme="minorHAnsi" w:cs="Calibri"/>
                <w:sz w:val="22"/>
              </w:rPr>
              <w:t>This is the 'definition and classification document' referred to in the Section 1A triage questions.</w:t>
            </w:r>
          </w:p>
        </w:tc>
      </w:tr>
      <w:tr w:rsidR="002B145D" w:rsidRPr="009317EE" w14:paraId="0552275C" w14:textId="77777777" w:rsidTr="00E01423">
        <w:trPr>
          <w:jc w:val="center"/>
        </w:trPr>
        <w:tc>
          <w:tcPr>
            <w:tcW w:w="5040" w:type="dxa"/>
            <w:shd w:val="clear" w:color="auto" w:fill="E7E6E6"/>
          </w:tcPr>
          <w:p w14:paraId="0B9A3DBB" w14:textId="77777777" w:rsidR="002B145D" w:rsidRPr="009317EE" w:rsidRDefault="00CE3A29">
            <w:pPr>
              <w:rPr>
                <w:rFonts w:asciiTheme="minorHAnsi" w:hAnsiTheme="minorHAnsi" w:cs="Calibri"/>
                <w:sz w:val="22"/>
              </w:rPr>
            </w:pPr>
            <w:r w:rsidRPr="009317EE">
              <w:rPr>
                <w:rFonts w:asciiTheme="minorHAnsi" w:hAnsiTheme="minorHAnsi" w:cs="Calibri"/>
                <w:sz w:val="22"/>
              </w:rPr>
              <w:t>Record location</w:t>
            </w:r>
          </w:p>
        </w:tc>
        <w:tc>
          <w:tcPr>
            <w:tcW w:w="5040" w:type="dxa"/>
          </w:tcPr>
          <w:p w14:paraId="1EAFDB54" w14:textId="77777777" w:rsidR="002B145D" w:rsidRDefault="00CE3A29">
            <w:pPr>
              <w:rPr>
                <w:rFonts w:asciiTheme="minorHAnsi" w:hAnsiTheme="minorHAnsi" w:cs="Calibri"/>
                <w:sz w:val="22"/>
              </w:rPr>
            </w:pPr>
            <w:r w:rsidRPr="009317EE">
              <w:rPr>
                <w:rFonts w:asciiTheme="minorHAnsi" w:hAnsiTheme="minorHAnsi" w:cs="Calibri"/>
                <w:sz w:val="22"/>
              </w:rPr>
              <w:t>Appendix A remains the decision record. This guidance supports the reasoning only and must not be used as a separate findings or substantiation record.</w:t>
            </w:r>
          </w:p>
          <w:p w14:paraId="373EF538" w14:textId="1F9D3061" w:rsidR="00102C27" w:rsidRPr="009317EE" w:rsidRDefault="00102C27">
            <w:pPr>
              <w:rPr>
                <w:rFonts w:asciiTheme="minorHAnsi" w:hAnsiTheme="minorHAnsi" w:cs="Calibri"/>
                <w:sz w:val="22"/>
              </w:rPr>
            </w:pPr>
            <w:r w:rsidRPr="00102C27">
              <w:rPr>
                <w:rFonts w:asciiTheme="minorHAnsi" w:hAnsiTheme="minorHAnsi" w:cs="Calibri"/>
                <w:sz w:val="22"/>
              </w:rPr>
              <w:t xml:space="preserve">Do not insert case-specific application tables, triage outcomes, safeguards, approvals or sign-off into this document. Record them in the Appendix A Intake Form and restricted </w:t>
            </w:r>
            <w:proofErr w:type="spellStart"/>
            <w:r w:rsidRPr="00102C27">
              <w:rPr>
                <w:rFonts w:asciiTheme="minorHAnsi" w:hAnsiTheme="minorHAnsi" w:cs="Calibri"/>
                <w:sz w:val="22"/>
              </w:rPr>
              <w:t>RiskWare</w:t>
            </w:r>
            <w:proofErr w:type="spellEnd"/>
            <w:r w:rsidRPr="00102C27">
              <w:rPr>
                <w:rFonts w:asciiTheme="minorHAnsi" w:hAnsiTheme="minorHAnsi" w:cs="Calibri"/>
                <w:sz w:val="22"/>
              </w:rPr>
              <w:t xml:space="preserve"> case record only.</w:t>
            </w:r>
          </w:p>
        </w:tc>
      </w:tr>
    </w:tbl>
    <w:p w14:paraId="3BBCA8DF" w14:textId="77777777" w:rsidR="002B145D" w:rsidRPr="009317EE" w:rsidRDefault="002B145D">
      <w:pPr>
        <w:rPr>
          <w:rFonts w:asciiTheme="minorHAnsi" w:hAnsiTheme="minorHAnsi" w:cs="Calibri"/>
          <w:sz w:val="22"/>
        </w:rPr>
      </w:pPr>
    </w:p>
    <w:p w14:paraId="4FA7528B" w14:textId="77777777" w:rsidR="002B145D" w:rsidRPr="009317EE" w:rsidRDefault="00CE3A29" w:rsidP="00E01423">
      <w:pPr>
        <w:rPr>
          <w:rFonts w:asciiTheme="minorHAnsi" w:hAnsiTheme="minorHAnsi" w:cs="Calibri"/>
          <w:b/>
          <w:bCs/>
          <w:sz w:val="28"/>
          <w:szCs w:val="28"/>
        </w:rPr>
      </w:pPr>
      <w:r w:rsidRPr="009317EE">
        <w:rPr>
          <w:rFonts w:asciiTheme="minorHAnsi" w:hAnsiTheme="minorHAnsi" w:cs="Calibri"/>
          <w:b/>
          <w:bCs/>
          <w:sz w:val="28"/>
          <w:szCs w:val="28"/>
        </w:rPr>
        <w:t>Purpose</w:t>
      </w:r>
    </w:p>
    <w:p w14:paraId="61168F09" w14:textId="77777777" w:rsidR="002B145D" w:rsidRPr="009317EE" w:rsidRDefault="00CE3A29">
      <w:pPr>
        <w:rPr>
          <w:rFonts w:asciiTheme="minorHAnsi" w:hAnsiTheme="minorHAnsi" w:cs="Calibri"/>
          <w:sz w:val="22"/>
        </w:rPr>
      </w:pPr>
      <w:r w:rsidRPr="009317EE">
        <w:rPr>
          <w:rFonts w:asciiTheme="minorHAnsi" w:hAnsiTheme="minorHAnsi" w:cs="Calibri"/>
          <w:sz w:val="22"/>
        </w:rPr>
        <w:t>T</w:t>
      </w:r>
      <w:r w:rsidRPr="009317EE">
        <w:rPr>
          <w:rFonts w:asciiTheme="minorHAnsi" w:eastAsia="Times New Roman" w:hAnsiTheme="minorHAnsi" w:cstheme="minorHAnsi"/>
          <w:sz w:val="22"/>
          <w:lang w:val="en-AU" w:eastAsia="en-AU"/>
        </w:rPr>
        <w:t xml:space="preserve">his guidance supports the GBV Incident Response Team to complete Appendix A Section 3 when a report, disclosure, complaint or concern has been framed as Gender-based Violence but the triage team needs to decide whether the reported </w:t>
      </w:r>
      <w:proofErr w:type="spellStart"/>
      <w:r w:rsidRPr="009317EE">
        <w:rPr>
          <w:rFonts w:asciiTheme="minorHAnsi" w:eastAsia="Times New Roman" w:hAnsiTheme="minorHAnsi" w:cstheme="minorHAnsi"/>
          <w:sz w:val="22"/>
          <w:lang w:val="en-AU" w:eastAsia="en-AU"/>
        </w:rPr>
        <w:t>cond</w:t>
      </w:r>
      <w:r w:rsidRPr="009317EE">
        <w:rPr>
          <w:rFonts w:asciiTheme="minorHAnsi" w:hAnsiTheme="minorHAnsi" w:cs="Calibri"/>
          <w:sz w:val="22"/>
        </w:rPr>
        <w:t>uct</w:t>
      </w:r>
      <w:proofErr w:type="spellEnd"/>
      <w:r w:rsidRPr="009317EE">
        <w:rPr>
          <w:rFonts w:asciiTheme="minorHAnsi" w:hAnsiTheme="minorHAnsi" w:cs="Calibri"/>
          <w:sz w:val="22"/>
        </w:rPr>
        <w:t xml:space="preserve"> is capable of engaging the GBV pathway or should be referred to another University pathway.</w:t>
      </w:r>
    </w:p>
    <w:p w14:paraId="397A45BB" w14:textId="77777777" w:rsidR="002B145D" w:rsidRPr="009317EE" w:rsidRDefault="00CE3A29">
      <w:pPr>
        <w:rPr>
          <w:rFonts w:asciiTheme="minorHAnsi" w:hAnsiTheme="minorHAnsi" w:cs="Calibri"/>
          <w:sz w:val="22"/>
        </w:rPr>
      </w:pPr>
      <w:r w:rsidRPr="009317EE">
        <w:rPr>
          <w:rFonts w:asciiTheme="minorHAnsi" w:hAnsiTheme="minorHAnsi" w:cs="Calibri"/>
          <w:sz w:val="22"/>
        </w:rPr>
        <w:t>It is particularly useful where the reported conduct may involve:</w:t>
      </w:r>
    </w:p>
    <w:p w14:paraId="22D1DB45"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management action, supervision, academic supervision, workload allocation, work direction or performance management</w:t>
      </w:r>
    </w:p>
    <w:p w14:paraId="67D5B2B7"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disciplinary action, conduct management, grading, placement control, reporting-line control or other use of authority</w:t>
      </w:r>
    </w:p>
    <w:p w14:paraId="0C360FB8"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interpersonal conflict, bullying or harassment not connected to gender</w:t>
      </w:r>
    </w:p>
    <w:p w14:paraId="1105B547"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 xml:space="preserve">poor management practice,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psychosocial risk, student conduct, complaints or another HR/</w:t>
      </w:r>
      <w:proofErr w:type="spellStart"/>
      <w:r w:rsidRPr="009317EE">
        <w:rPr>
          <w:rFonts w:asciiTheme="minorHAnsi" w:hAnsiTheme="minorHAnsi" w:cs="Calibri"/>
          <w:sz w:val="22"/>
        </w:rPr>
        <w:t>WHS</w:t>
      </w:r>
      <w:proofErr w:type="spellEnd"/>
      <w:r w:rsidRPr="009317EE">
        <w:rPr>
          <w:rFonts w:asciiTheme="minorHAnsi" w:hAnsiTheme="minorHAnsi" w:cs="Calibri"/>
          <w:sz w:val="22"/>
        </w:rPr>
        <w:t>/conduct pathway</w:t>
      </w:r>
    </w:p>
    <w:p w14:paraId="23081772" w14:textId="77777777" w:rsidR="002B145D" w:rsidRPr="009317EE" w:rsidRDefault="00CE3A29">
      <w:pPr>
        <w:rPr>
          <w:rFonts w:asciiTheme="minorHAnsi" w:hAnsiTheme="minorHAnsi" w:cs="Calibri"/>
          <w:sz w:val="22"/>
        </w:rPr>
      </w:pPr>
      <w:r w:rsidRPr="009317EE">
        <w:rPr>
          <w:rFonts w:asciiTheme="minorHAnsi" w:hAnsiTheme="minorHAnsi" w:cs="Calibri"/>
          <w:sz w:val="22"/>
        </w:rPr>
        <w:t>This guidance must be applied in a neutral, trauma-informed and non-determinative way.</w:t>
      </w:r>
    </w:p>
    <w:p w14:paraId="0878422A" w14:textId="77777777" w:rsidR="00176944" w:rsidRDefault="001537F1">
      <w:r>
        <w:t>A matter should not be treated as Gender-based Violence only because it has been labelled or described as Gender-based Violence. The triage question is whether the conduct described, if accurate, could meet the Code definition and is capable of engaging the GBV pathway.</w:t>
      </w:r>
    </w:p>
    <w:p w14:paraId="088EFF42" w14:textId="77777777" w:rsidR="002B145D" w:rsidRPr="009317EE" w:rsidRDefault="00CE3A29" w:rsidP="009317EE">
      <w:pPr>
        <w:rPr>
          <w:rFonts w:asciiTheme="minorHAnsi" w:hAnsiTheme="minorHAnsi"/>
          <w:b/>
          <w:bCs/>
          <w:sz w:val="28"/>
          <w:szCs w:val="28"/>
        </w:rPr>
      </w:pPr>
      <w:r w:rsidRPr="009317EE">
        <w:rPr>
          <w:rFonts w:asciiTheme="minorHAnsi" w:hAnsiTheme="minorHAnsi"/>
          <w:b/>
          <w:bCs/>
          <w:sz w:val="28"/>
          <w:szCs w:val="28"/>
        </w:rPr>
        <w:lastRenderedPageBreak/>
        <w:t>What this guidance does not do</w:t>
      </w:r>
    </w:p>
    <w:p w14:paraId="70E32AB7" w14:textId="77777777" w:rsidR="002B145D" w:rsidRPr="009317EE" w:rsidRDefault="00CE3A29">
      <w:pPr>
        <w:rPr>
          <w:rFonts w:asciiTheme="minorHAnsi" w:hAnsiTheme="minorHAnsi" w:cs="Calibri"/>
          <w:sz w:val="22"/>
        </w:rPr>
      </w:pPr>
      <w:r w:rsidRPr="009317EE">
        <w:rPr>
          <w:rFonts w:asciiTheme="minorHAnsi" w:hAnsiTheme="minorHAnsi" w:cs="Calibri"/>
          <w:sz w:val="22"/>
        </w:rPr>
        <w:t>This guidance does not determine whether:</w:t>
      </w:r>
    </w:p>
    <w:p w14:paraId="55EAA0F8"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Gender-based Violence occurred</w:t>
      </w:r>
    </w:p>
    <w:p w14:paraId="252E38EA"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misconduct occurred</w:t>
      </w:r>
    </w:p>
    <w:p w14:paraId="794A3548"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bullying occurred</w:t>
      </w:r>
    </w:p>
    <w:p w14:paraId="2EEB07EA"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management action was reasonable or unreasonable</w:t>
      </w:r>
    </w:p>
    <w:p w14:paraId="099B601F"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any allegation is substantiated</w:t>
      </w:r>
    </w:p>
    <w:p w14:paraId="28C33D03"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disciplinary action should occur</w:t>
      </w:r>
    </w:p>
    <w:p w14:paraId="650854F5"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a person is credible or not credible</w:t>
      </w:r>
    </w:p>
    <w:p w14:paraId="0BB0360A" w14:textId="77777777" w:rsidR="002B145D" w:rsidRDefault="00CE3A29">
      <w:pPr>
        <w:rPr>
          <w:rFonts w:asciiTheme="minorHAnsi" w:hAnsiTheme="minorHAnsi" w:cs="Calibri"/>
          <w:sz w:val="22"/>
        </w:rPr>
      </w:pPr>
      <w:r w:rsidRPr="009317EE">
        <w:rPr>
          <w:rFonts w:asciiTheme="minorHAnsi" w:hAnsiTheme="minorHAnsi" w:cs="Calibri"/>
          <w:sz w:val="22"/>
        </w:rPr>
        <w:t>Those matters are only determined through the appropriate later process, if required.</w:t>
      </w:r>
    </w:p>
    <w:tbl>
      <w:tblPr>
        <w:tblW w:w="0" w:type="auto"/>
        <w:jc w:val="center"/>
        <w:shd w:val="clear" w:color="auto" w:fill="E7E6E6"/>
        <w:tblLook w:val="04A0" w:firstRow="1" w:lastRow="0" w:firstColumn="1" w:lastColumn="0" w:noHBand="0" w:noVBand="1"/>
      </w:tblPr>
      <w:tblGrid>
        <w:gridCol w:w="10080"/>
      </w:tblGrid>
      <w:tr w:rsidR="002B145D" w:rsidRPr="009317EE" w14:paraId="1B79A009" w14:textId="77777777" w:rsidTr="009317EE">
        <w:trPr>
          <w:jc w:val="center"/>
        </w:trPr>
        <w:tc>
          <w:tcPr>
            <w:tcW w:w="10080" w:type="dxa"/>
            <w:shd w:val="clear" w:color="auto" w:fill="E7E6E6"/>
          </w:tcPr>
          <w:p w14:paraId="0215DADA" w14:textId="77777777" w:rsidR="002B145D" w:rsidRPr="009317EE" w:rsidRDefault="00CE3A29">
            <w:pPr>
              <w:rPr>
                <w:rFonts w:asciiTheme="minorHAnsi" w:hAnsiTheme="minorHAnsi" w:cs="Calibri"/>
                <w:sz w:val="22"/>
              </w:rPr>
            </w:pPr>
            <w:r w:rsidRPr="009317EE">
              <w:rPr>
                <w:rFonts w:asciiTheme="minorHAnsi" w:hAnsiTheme="minorHAnsi" w:cs="Calibri"/>
                <w:sz w:val="22"/>
              </w:rPr>
              <w:t>Intake question: If the reported conduct is accurate and taken at its highest, is it capable of engaging the GBV pathway?</w:t>
            </w:r>
          </w:p>
        </w:tc>
      </w:tr>
    </w:tbl>
    <w:p w14:paraId="23FD2DA6" w14:textId="77777777" w:rsidR="002B145D" w:rsidRPr="009317EE" w:rsidRDefault="002B145D">
      <w:pPr>
        <w:rPr>
          <w:rFonts w:asciiTheme="minorHAnsi" w:hAnsiTheme="minorHAnsi" w:cs="Calibri"/>
          <w:sz w:val="22"/>
        </w:rPr>
      </w:pPr>
    </w:p>
    <w:p w14:paraId="42CD0283" w14:textId="77777777" w:rsidR="002B145D" w:rsidRPr="009317EE" w:rsidRDefault="00CE3A29" w:rsidP="009317EE">
      <w:pPr>
        <w:rPr>
          <w:rFonts w:asciiTheme="minorHAnsi" w:hAnsiTheme="minorHAnsi"/>
          <w:b/>
          <w:bCs/>
          <w:sz w:val="28"/>
          <w:szCs w:val="28"/>
        </w:rPr>
      </w:pPr>
      <w:r w:rsidRPr="009317EE">
        <w:rPr>
          <w:rFonts w:asciiTheme="minorHAnsi" w:hAnsiTheme="minorHAnsi"/>
          <w:b/>
          <w:bCs/>
          <w:sz w:val="28"/>
          <w:szCs w:val="28"/>
        </w:rPr>
        <w:t>Code-based triage definition</w:t>
      </w:r>
    </w:p>
    <w:p w14:paraId="4DE620D3" w14:textId="77777777" w:rsidR="002B145D" w:rsidRPr="009317EE" w:rsidRDefault="00CE3A29">
      <w:pPr>
        <w:rPr>
          <w:rFonts w:asciiTheme="minorHAnsi" w:hAnsiTheme="minorHAnsi" w:cs="Calibri"/>
          <w:sz w:val="22"/>
        </w:rPr>
      </w:pPr>
      <w:r w:rsidRPr="009317EE">
        <w:rPr>
          <w:rFonts w:asciiTheme="minorHAnsi" w:hAnsiTheme="minorHAnsi" w:cs="Calibri"/>
          <w:sz w:val="22"/>
        </w:rPr>
        <w:t>For Appendix A Section 3, Gender-based Violence means any form of physical or non-physical violence, harassment, abuse or threats, based on gender, that results in, or is likely to result in, harm, coercion, control, fear or deprivation of liberty or autonomy.</w:t>
      </w:r>
    </w:p>
    <w:p w14:paraId="10861233" w14:textId="77777777" w:rsidR="002B145D" w:rsidRPr="009317EE" w:rsidRDefault="00CE3A29">
      <w:pPr>
        <w:rPr>
          <w:rFonts w:asciiTheme="minorHAnsi" w:hAnsiTheme="minorHAnsi" w:cs="Calibri"/>
          <w:sz w:val="22"/>
        </w:rPr>
      </w:pPr>
      <w:r w:rsidRPr="009317EE">
        <w:rPr>
          <w:rFonts w:asciiTheme="minorHAnsi" w:hAnsiTheme="minorHAnsi" w:cs="Calibri"/>
          <w:sz w:val="22"/>
        </w:rPr>
        <w:t>At triage, the team is not proving that this definition is met. The team is deciding whether the reported conduct is capable of meeting this definition if accepted at its highest, not whether GBV has been established, proven or substantiated.</w:t>
      </w:r>
    </w:p>
    <w:p w14:paraId="0274F650" w14:textId="77777777" w:rsidR="002B145D" w:rsidRPr="009317EE" w:rsidRDefault="00CE3A29" w:rsidP="009317EE">
      <w:pPr>
        <w:rPr>
          <w:rFonts w:asciiTheme="minorHAnsi" w:hAnsiTheme="minorHAnsi"/>
          <w:b/>
          <w:bCs/>
          <w:sz w:val="28"/>
          <w:szCs w:val="28"/>
        </w:rPr>
      </w:pPr>
      <w:r w:rsidRPr="009317EE">
        <w:rPr>
          <w:rFonts w:asciiTheme="minorHAnsi" w:hAnsiTheme="minorHAnsi"/>
          <w:b/>
          <w:bCs/>
          <w:sz w:val="28"/>
          <w:szCs w:val="28"/>
        </w:rPr>
        <w:t xml:space="preserve">The three-part pathway </w:t>
      </w:r>
      <w:proofErr w:type="gramStart"/>
      <w:r w:rsidRPr="009317EE">
        <w:rPr>
          <w:rFonts w:asciiTheme="minorHAnsi" w:hAnsiTheme="minorHAnsi"/>
          <w:b/>
          <w:bCs/>
          <w:sz w:val="28"/>
          <w:szCs w:val="28"/>
        </w:rPr>
        <w:t>test</w:t>
      </w:r>
      <w:proofErr w:type="gramEnd"/>
    </w:p>
    <w:p w14:paraId="5C1A0EFD" w14:textId="77777777" w:rsidR="002B145D" w:rsidRPr="009317EE" w:rsidRDefault="00CE3A29">
      <w:pPr>
        <w:rPr>
          <w:rFonts w:asciiTheme="minorHAnsi" w:hAnsiTheme="minorHAnsi" w:cs="Calibri"/>
          <w:sz w:val="22"/>
        </w:rPr>
      </w:pPr>
      <w:r w:rsidRPr="009317EE">
        <w:rPr>
          <w:rFonts w:asciiTheme="minorHAnsi" w:hAnsiTheme="minorHAnsi" w:cs="Calibri"/>
          <w:sz w:val="22"/>
        </w:rPr>
        <w:t>The three questions are not separate standalone tests. They work together. A matter should generally be treated as capable of engaging the GBV pathway where there is a reasonable basis for all three elements below.</w:t>
      </w:r>
    </w:p>
    <w:tbl>
      <w:tblPr>
        <w:tblStyle w:val="TableGrid"/>
        <w:tblW w:w="0" w:type="auto"/>
        <w:jc w:val="center"/>
        <w:tblLook w:val="04A0" w:firstRow="1" w:lastRow="0" w:firstColumn="1" w:lastColumn="0" w:noHBand="0" w:noVBand="1"/>
      </w:tblPr>
      <w:tblGrid>
        <w:gridCol w:w="2517"/>
        <w:gridCol w:w="2518"/>
        <w:gridCol w:w="2518"/>
        <w:gridCol w:w="2517"/>
      </w:tblGrid>
      <w:tr w:rsidR="002B145D" w:rsidRPr="009317EE" w14:paraId="336B563C" w14:textId="77777777" w:rsidTr="009317EE">
        <w:trPr>
          <w:jc w:val="center"/>
        </w:trPr>
        <w:tc>
          <w:tcPr>
            <w:tcW w:w="2520" w:type="dxa"/>
            <w:shd w:val="clear" w:color="auto" w:fill="E7E6E6"/>
          </w:tcPr>
          <w:p w14:paraId="6EBDD507" w14:textId="77777777" w:rsidR="002B145D" w:rsidRPr="009317EE" w:rsidRDefault="00CE3A29" w:rsidP="00AA2480">
            <w:pPr>
              <w:jc w:val="center"/>
              <w:rPr>
                <w:rFonts w:asciiTheme="minorHAnsi" w:hAnsiTheme="minorHAnsi" w:cs="Calibri"/>
                <w:sz w:val="22"/>
              </w:rPr>
            </w:pPr>
            <w:r w:rsidRPr="009317EE">
              <w:rPr>
                <w:rFonts w:asciiTheme="minorHAnsi" w:hAnsiTheme="minorHAnsi" w:cs="Calibri"/>
                <w:b/>
                <w:sz w:val="22"/>
              </w:rPr>
              <w:t>Element</w:t>
            </w:r>
          </w:p>
        </w:tc>
        <w:tc>
          <w:tcPr>
            <w:tcW w:w="2520" w:type="dxa"/>
            <w:shd w:val="clear" w:color="auto" w:fill="E7E6E6"/>
          </w:tcPr>
          <w:p w14:paraId="03A26B94" w14:textId="77777777" w:rsidR="002B145D" w:rsidRPr="009317EE" w:rsidRDefault="00CE3A29" w:rsidP="00AA2480">
            <w:pPr>
              <w:jc w:val="center"/>
              <w:rPr>
                <w:rFonts w:asciiTheme="minorHAnsi" w:hAnsiTheme="minorHAnsi" w:cs="Calibri"/>
                <w:sz w:val="22"/>
              </w:rPr>
            </w:pPr>
            <w:r w:rsidRPr="009317EE">
              <w:rPr>
                <w:rFonts w:asciiTheme="minorHAnsi" w:hAnsiTheme="minorHAnsi" w:cs="Calibri"/>
                <w:b/>
                <w:sz w:val="22"/>
              </w:rPr>
              <w:t>Question</w:t>
            </w:r>
          </w:p>
        </w:tc>
        <w:tc>
          <w:tcPr>
            <w:tcW w:w="2520" w:type="dxa"/>
            <w:shd w:val="clear" w:color="auto" w:fill="E7E6E6"/>
          </w:tcPr>
          <w:p w14:paraId="0905ADF6" w14:textId="77777777" w:rsidR="002B145D" w:rsidRPr="009317EE" w:rsidRDefault="00CE3A29" w:rsidP="00AA2480">
            <w:pPr>
              <w:jc w:val="center"/>
              <w:rPr>
                <w:rFonts w:asciiTheme="minorHAnsi" w:hAnsiTheme="minorHAnsi" w:cs="Calibri"/>
                <w:sz w:val="22"/>
              </w:rPr>
            </w:pPr>
            <w:r w:rsidRPr="009317EE">
              <w:rPr>
                <w:rFonts w:asciiTheme="minorHAnsi" w:hAnsiTheme="minorHAnsi" w:cs="Calibri"/>
                <w:b/>
                <w:sz w:val="22"/>
              </w:rPr>
              <w:t>Relevant indicators</w:t>
            </w:r>
          </w:p>
        </w:tc>
        <w:tc>
          <w:tcPr>
            <w:tcW w:w="2520" w:type="dxa"/>
            <w:shd w:val="clear" w:color="auto" w:fill="E7E6E6"/>
          </w:tcPr>
          <w:p w14:paraId="39EF7BC0" w14:textId="77777777" w:rsidR="002B145D" w:rsidRPr="009317EE" w:rsidRDefault="00CE3A29" w:rsidP="00AA2480">
            <w:pPr>
              <w:jc w:val="center"/>
              <w:rPr>
                <w:rFonts w:asciiTheme="minorHAnsi" w:hAnsiTheme="minorHAnsi" w:cs="Calibri"/>
                <w:sz w:val="22"/>
              </w:rPr>
            </w:pPr>
            <w:r w:rsidRPr="009317EE">
              <w:rPr>
                <w:rFonts w:asciiTheme="minorHAnsi" w:hAnsiTheme="minorHAnsi" w:cs="Calibri"/>
                <w:b/>
                <w:sz w:val="22"/>
              </w:rPr>
              <w:t>Answer options</w:t>
            </w:r>
          </w:p>
        </w:tc>
      </w:tr>
      <w:tr w:rsidR="002B145D" w:rsidRPr="009317EE" w14:paraId="5FD102FF" w14:textId="77777777">
        <w:trPr>
          <w:jc w:val="center"/>
        </w:trPr>
        <w:tc>
          <w:tcPr>
            <w:tcW w:w="2520" w:type="dxa"/>
          </w:tcPr>
          <w:p w14:paraId="37D7FB56" w14:textId="77777777" w:rsidR="002B145D" w:rsidRPr="009317EE" w:rsidRDefault="00CE3A29">
            <w:pPr>
              <w:rPr>
                <w:rFonts w:asciiTheme="minorHAnsi" w:hAnsiTheme="minorHAnsi" w:cs="Calibri"/>
                <w:sz w:val="22"/>
              </w:rPr>
            </w:pPr>
            <w:r w:rsidRPr="009317EE">
              <w:rPr>
                <w:rFonts w:asciiTheme="minorHAnsi" w:hAnsiTheme="minorHAnsi" w:cs="Calibri"/>
                <w:b/>
                <w:sz w:val="22"/>
              </w:rPr>
              <w:t xml:space="preserve">1. </w:t>
            </w:r>
            <w:proofErr w:type="spellStart"/>
            <w:r w:rsidRPr="009317EE">
              <w:rPr>
                <w:rFonts w:asciiTheme="minorHAnsi" w:hAnsiTheme="minorHAnsi" w:cs="Calibri"/>
                <w:b/>
                <w:sz w:val="22"/>
              </w:rPr>
              <w:t>Behaviour</w:t>
            </w:r>
            <w:proofErr w:type="spellEnd"/>
          </w:p>
        </w:tc>
        <w:tc>
          <w:tcPr>
            <w:tcW w:w="2520" w:type="dxa"/>
          </w:tcPr>
          <w:p w14:paraId="73D1ED47"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Does the report describe conduct that could fall within the Code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categories?</w:t>
            </w:r>
          </w:p>
        </w:tc>
        <w:tc>
          <w:tcPr>
            <w:tcW w:w="2520" w:type="dxa"/>
          </w:tcPr>
          <w:p w14:paraId="5788B13B"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Physical or non-physical violence; harassment; abuse; threats; intimidation; coercion; control; stalking or monitoring; </w:t>
            </w:r>
            <w:proofErr w:type="spellStart"/>
            <w:r w:rsidRPr="009317EE">
              <w:rPr>
                <w:rFonts w:asciiTheme="minorHAnsi" w:hAnsiTheme="minorHAnsi" w:cs="Calibri"/>
                <w:sz w:val="22"/>
              </w:rPr>
              <w:t>sexualised</w:t>
            </w:r>
            <w:proofErr w:type="spellEnd"/>
            <w:r w:rsidRPr="009317EE">
              <w:rPr>
                <w:rFonts w:asciiTheme="minorHAnsi" w:hAnsiTheme="minorHAnsi" w:cs="Calibri"/>
                <w:sz w:val="22"/>
              </w:rPr>
              <w:t xml:space="preserve"> conduct; gendered humiliation; exclusion; misuse of power or authority; repeated or patterned conduct that may create fear, control or loss of autonomy.</w:t>
            </w:r>
          </w:p>
        </w:tc>
        <w:tc>
          <w:tcPr>
            <w:tcW w:w="2520" w:type="dxa"/>
          </w:tcPr>
          <w:p w14:paraId="320408C4" w14:textId="77777777" w:rsidR="002B145D" w:rsidRPr="009317EE" w:rsidRDefault="00CE3A29">
            <w:pPr>
              <w:rPr>
                <w:rFonts w:asciiTheme="minorHAnsi" w:hAnsiTheme="minorHAnsi" w:cs="Calibri"/>
                <w:sz w:val="22"/>
              </w:rPr>
            </w:pPr>
            <w:r w:rsidRPr="009317EE">
              <w:rPr>
                <w:rFonts w:asciiTheme="minorHAnsi" w:hAnsiTheme="minorHAnsi" w:cs="Calibri"/>
                <w:sz w:val="22"/>
              </w:rPr>
              <w:t>Yes / No / Unclear</w:t>
            </w:r>
          </w:p>
        </w:tc>
      </w:tr>
      <w:tr w:rsidR="002B145D" w:rsidRPr="009317EE" w14:paraId="154E3463" w14:textId="77777777">
        <w:trPr>
          <w:jc w:val="center"/>
        </w:trPr>
        <w:tc>
          <w:tcPr>
            <w:tcW w:w="2520" w:type="dxa"/>
          </w:tcPr>
          <w:p w14:paraId="706CC886" w14:textId="77777777" w:rsidR="002B145D" w:rsidRPr="009317EE" w:rsidRDefault="00CE3A29">
            <w:pPr>
              <w:rPr>
                <w:rFonts w:asciiTheme="minorHAnsi" w:hAnsiTheme="minorHAnsi" w:cs="Calibri"/>
                <w:sz w:val="22"/>
              </w:rPr>
            </w:pPr>
            <w:r w:rsidRPr="009317EE">
              <w:rPr>
                <w:rFonts w:asciiTheme="minorHAnsi" w:hAnsiTheme="minorHAnsi" w:cs="Calibri"/>
                <w:b/>
                <w:sz w:val="22"/>
              </w:rPr>
              <w:lastRenderedPageBreak/>
              <w:t>2. Gender connection</w:t>
            </w:r>
          </w:p>
        </w:tc>
        <w:tc>
          <w:tcPr>
            <w:tcW w:w="2520" w:type="dxa"/>
          </w:tcPr>
          <w:p w14:paraId="1855BF5B"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Is there a reasonable basis to consider that the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is based on, connected to, or occurring in a gendered context?</w:t>
            </w:r>
          </w:p>
        </w:tc>
        <w:tc>
          <w:tcPr>
            <w:tcW w:w="2520" w:type="dxa"/>
          </w:tcPr>
          <w:p w14:paraId="2C9AD782" w14:textId="77777777" w:rsidR="002B145D" w:rsidRDefault="00CE3A29">
            <w:pPr>
              <w:rPr>
                <w:rFonts w:asciiTheme="minorHAnsi" w:hAnsiTheme="minorHAnsi" w:cs="Calibri"/>
                <w:sz w:val="22"/>
              </w:rPr>
            </w:pPr>
            <w:r w:rsidRPr="009317EE">
              <w:rPr>
                <w:rFonts w:asciiTheme="minorHAnsi" w:hAnsiTheme="minorHAnsi" w:cs="Calibri"/>
                <w:sz w:val="22"/>
              </w:rPr>
              <w:t xml:space="preserve">Gendered comments, stereotypes or assumptions; </w:t>
            </w:r>
            <w:proofErr w:type="spellStart"/>
            <w:r w:rsidRPr="009317EE">
              <w:rPr>
                <w:rFonts w:asciiTheme="minorHAnsi" w:hAnsiTheme="minorHAnsi" w:cs="Calibri"/>
                <w:sz w:val="22"/>
              </w:rPr>
              <w:t>sexualised</w:t>
            </w:r>
            <w:proofErr w:type="spellEnd"/>
            <w:r w:rsidRPr="009317EE">
              <w:rPr>
                <w:rFonts w:asciiTheme="minorHAnsi" w:hAnsiTheme="minorHAnsi" w:cs="Calibri"/>
                <w:sz w:val="22"/>
              </w:rPr>
              <w:t xml:space="preserve"> remarks or conduct; differential treatment connected to gender; repeated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affecting one gender group or gender-diverse people; gendered power imbalance; intimate, sexual or relationship context; conduct that reinforces gender inequality, exclusion or control.</w:t>
            </w:r>
          </w:p>
          <w:p w14:paraId="4B4A5AB6" w14:textId="77777777" w:rsidR="009317EE" w:rsidRPr="009317EE" w:rsidRDefault="009317EE">
            <w:pPr>
              <w:rPr>
                <w:rFonts w:asciiTheme="minorHAnsi" w:hAnsiTheme="minorHAnsi" w:cs="Calibri"/>
                <w:sz w:val="22"/>
              </w:rPr>
            </w:pPr>
          </w:p>
        </w:tc>
        <w:tc>
          <w:tcPr>
            <w:tcW w:w="2520" w:type="dxa"/>
          </w:tcPr>
          <w:p w14:paraId="7E86D2B4" w14:textId="77777777" w:rsidR="002B145D" w:rsidRPr="009317EE" w:rsidRDefault="00CE3A29">
            <w:pPr>
              <w:rPr>
                <w:rFonts w:asciiTheme="minorHAnsi" w:hAnsiTheme="minorHAnsi" w:cs="Calibri"/>
                <w:sz w:val="22"/>
              </w:rPr>
            </w:pPr>
            <w:r w:rsidRPr="009317EE">
              <w:rPr>
                <w:rFonts w:asciiTheme="minorHAnsi" w:hAnsiTheme="minorHAnsi" w:cs="Calibri"/>
                <w:sz w:val="22"/>
              </w:rPr>
              <w:t>Yes / No / Unclear</w:t>
            </w:r>
          </w:p>
        </w:tc>
      </w:tr>
      <w:tr w:rsidR="002B145D" w:rsidRPr="009317EE" w14:paraId="0D39EE80" w14:textId="77777777">
        <w:trPr>
          <w:jc w:val="center"/>
        </w:trPr>
        <w:tc>
          <w:tcPr>
            <w:tcW w:w="2520" w:type="dxa"/>
          </w:tcPr>
          <w:p w14:paraId="743C6A24" w14:textId="77777777" w:rsidR="002B145D" w:rsidRPr="009317EE" w:rsidRDefault="00CE3A29">
            <w:pPr>
              <w:rPr>
                <w:rFonts w:asciiTheme="minorHAnsi" w:hAnsiTheme="minorHAnsi" w:cs="Calibri"/>
                <w:sz w:val="22"/>
              </w:rPr>
            </w:pPr>
            <w:r w:rsidRPr="009317EE">
              <w:rPr>
                <w:rFonts w:asciiTheme="minorHAnsi" w:hAnsiTheme="minorHAnsi" w:cs="Calibri"/>
                <w:b/>
                <w:sz w:val="22"/>
              </w:rPr>
              <w:t>3. Harm, coercion, control, fear or autonomy impact</w:t>
            </w:r>
          </w:p>
        </w:tc>
        <w:tc>
          <w:tcPr>
            <w:tcW w:w="2520" w:type="dxa"/>
          </w:tcPr>
          <w:p w14:paraId="4CC0DF6A"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Has the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resulted in, or is it likely to result in, harm, coercion, control, fear or deprivation of liberty or autonomy?</w:t>
            </w:r>
          </w:p>
        </w:tc>
        <w:tc>
          <w:tcPr>
            <w:tcW w:w="2520" w:type="dxa"/>
          </w:tcPr>
          <w:p w14:paraId="1E47B48F" w14:textId="77777777" w:rsidR="002B145D" w:rsidRPr="009317EE" w:rsidRDefault="00CE3A29">
            <w:pPr>
              <w:rPr>
                <w:rFonts w:asciiTheme="minorHAnsi" w:hAnsiTheme="minorHAnsi" w:cs="Calibri"/>
                <w:sz w:val="22"/>
              </w:rPr>
            </w:pPr>
            <w:r w:rsidRPr="009317EE">
              <w:rPr>
                <w:rFonts w:asciiTheme="minorHAnsi" w:hAnsiTheme="minorHAnsi" w:cs="Calibri"/>
                <w:sz w:val="22"/>
              </w:rPr>
              <w:t>Fear or distress; anxiety, withdrawal or avoidance; loss of dignity, safety or participation; reduced ability to work, study, attend, report or engage; pressure, retaliation concerns, dependency or control over work, study, grading, housing, visa, funding, opportunities or access; loss of autonomy or independence. The person’s subjective experience of harm, fear, coercion, control or loss of autonomy is relevant to impact, but subjective perception alone does not determine classification.</w:t>
            </w:r>
          </w:p>
        </w:tc>
        <w:tc>
          <w:tcPr>
            <w:tcW w:w="2520" w:type="dxa"/>
          </w:tcPr>
          <w:p w14:paraId="3FE69DA1" w14:textId="77777777" w:rsidR="002B145D" w:rsidRPr="009317EE" w:rsidRDefault="00CE3A29">
            <w:pPr>
              <w:rPr>
                <w:rFonts w:asciiTheme="minorHAnsi" w:hAnsiTheme="minorHAnsi" w:cs="Calibri"/>
                <w:sz w:val="22"/>
              </w:rPr>
            </w:pPr>
            <w:r w:rsidRPr="009317EE">
              <w:rPr>
                <w:rFonts w:asciiTheme="minorHAnsi" w:hAnsiTheme="minorHAnsi" w:cs="Calibri"/>
                <w:sz w:val="22"/>
              </w:rPr>
              <w:t>Yes / No / Unclear</w:t>
            </w:r>
          </w:p>
        </w:tc>
      </w:tr>
    </w:tbl>
    <w:p w14:paraId="027F6325" w14:textId="77777777" w:rsidR="002B145D" w:rsidRPr="009317EE" w:rsidRDefault="002B145D">
      <w:pPr>
        <w:rPr>
          <w:rFonts w:asciiTheme="minorHAnsi" w:hAnsiTheme="minorHAnsi" w:cs="Calibri"/>
          <w:sz w:val="22"/>
        </w:rPr>
      </w:pPr>
    </w:p>
    <w:p w14:paraId="6AE696CB" w14:textId="77777777" w:rsidR="00102C27" w:rsidRDefault="00102C27" w:rsidP="009317EE">
      <w:pPr>
        <w:rPr>
          <w:rFonts w:asciiTheme="minorHAnsi" w:hAnsiTheme="minorHAnsi"/>
          <w:b/>
          <w:bCs/>
          <w:sz w:val="28"/>
          <w:szCs w:val="28"/>
        </w:rPr>
      </w:pPr>
    </w:p>
    <w:p w14:paraId="000AB365" w14:textId="77777777" w:rsidR="00102C27" w:rsidRDefault="00102C27" w:rsidP="009317EE">
      <w:pPr>
        <w:rPr>
          <w:rFonts w:asciiTheme="minorHAnsi" w:hAnsiTheme="minorHAnsi"/>
          <w:b/>
          <w:bCs/>
          <w:sz w:val="28"/>
          <w:szCs w:val="28"/>
        </w:rPr>
      </w:pPr>
    </w:p>
    <w:p w14:paraId="0E319273" w14:textId="77777777" w:rsidR="00102C27" w:rsidRDefault="00102C27" w:rsidP="009317EE">
      <w:pPr>
        <w:rPr>
          <w:rFonts w:asciiTheme="minorHAnsi" w:hAnsiTheme="minorHAnsi"/>
          <w:b/>
          <w:bCs/>
          <w:sz w:val="28"/>
          <w:szCs w:val="28"/>
        </w:rPr>
      </w:pPr>
    </w:p>
    <w:p w14:paraId="1256E217" w14:textId="77777777" w:rsidR="00102C27" w:rsidRDefault="00102C27" w:rsidP="009317EE">
      <w:pPr>
        <w:rPr>
          <w:rFonts w:asciiTheme="minorHAnsi" w:hAnsiTheme="minorHAnsi"/>
          <w:b/>
          <w:bCs/>
          <w:sz w:val="28"/>
          <w:szCs w:val="28"/>
        </w:rPr>
      </w:pPr>
    </w:p>
    <w:p w14:paraId="7F883550" w14:textId="77777777" w:rsidR="00102C27" w:rsidRDefault="00102C27" w:rsidP="009317EE">
      <w:pPr>
        <w:rPr>
          <w:rFonts w:asciiTheme="minorHAnsi" w:hAnsiTheme="minorHAnsi"/>
          <w:b/>
          <w:bCs/>
          <w:sz w:val="28"/>
          <w:szCs w:val="28"/>
        </w:rPr>
      </w:pPr>
    </w:p>
    <w:p w14:paraId="6C0B3038" w14:textId="2A2C460D" w:rsidR="002B145D" w:rsidRPr="009317EE" w:rsidRDefault="00CE3A29" w:rsidP="009317EE">
      <w:pPr>
        <w:rPr>
          <w:rFonts w:asciiTheme="minorHAnsi" w:hAnsiTheme="minorHAnsi"/>
          <w:b/>
          <w:bCs/>
          <w:sz w:val="28"/>
          <w:szCs w:val="28"/>
        </w:rPr>
      </w:pPr>
      <w:r w:rsidRPr="009317EE">
        <w:rPr>
          <w:rFonts w:asciiTheme="minorHAnsi" w:hAnsiTheme="minorHAnsi"/>
          <w:b/>
          <w:bCs/>
          <w:sz w:val="28"/>
          <w:szCs w:val="28"/>
        </w:rPr>
        <w:lastRenderedPageBreak/>
        <w:t>How to apply the three-part test</w:t>
      </w:r>
    </w:p>
    <w:p w14:paraId="0445D3E1" w14:textId="77777777" w:rsidR="002B145D" w:rsidRPr="009317EE" w:rsidRDefault="00CE3A29">
      <w:pPr>
        <w:rPr>
          <w:rFonts w:asciiTheme="minorHAnsi" w:hAnsiTheme="minorHAnsi" w:cs="Calibri"/>
          <w:sz w:val="22"/>
        </w:rPr>
      </w:pPr>
      <w:r w:rsidRPr="009317EE">
        <w:rPr>
          <w:rFonts w:asciiTheme="minorHAnsi" w:hAnsiTheme="minorHAnsi" w:cs="Calibri"/>
          <w:sz w:val="22"/>
        </w:rPr>
        <w:t>Use this practical rule:</w:t>
      </w:r>
    </w:p>
    <w:tbl>
      <w:tblPr>
        <w:tblW w:w="0" w:type="auto"/>
        <w:jc w:val="center"/>
        <w:tblLook w:val="04A0" w:firstRow="1" w:lastRow="0" w:firstColumn="1" w:lastColumn="0" w:noHBand="0" w:noVBand="1"/>
      </w:tblPr>
      <w:tblGrid>
        <w:gridCol w:w="10080"/>
      </w:tblGrid>
      <w:tr w:rsidR="002B145D" w:rsidRPr="009317EE" w14:paraId="320369F3" w14:textId="77777777" w:rsidTr="009317EE">
        <w:trPr>
          <w:jc w:val="center"/>
        </w:trPr>
        <w:tc>
          <w:tcPr>
            <w:tcW w:w="10080" w:type="dxa"/>
            <w:shd w:val="clear" w:color="auto" w:fill="E7E6E6"/>
          </w:tcPr>
          <w:p w14:paraId="05DE08C7"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Code-type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 gender connection + harm/control/fear/autonomy impact = capable of engaging the GBV pathway</w:t>
            </w:r>
          </w:p>
        </w:tc>
      </w:tr>
    </w:tbl>
    <w:p w14:paraId="480456D5" w14:textId="6C55C523" w:rsidR="002B145D" w:rsidRDefault="002B145D">
      <w:pPr>
        <w:rPr>
          <w:rFonts w:asciiTheme="minorHAnsi" w:hAnsiTheme="minorHAnsi" w:cs="Calibri"/>
          <w:sz w:val="22"/>
        </w:rPr>
      </w:pPr>
    </w:p>
    <w:p w14:paraId="3178CFFE" w14:textId="49B26F8D" w:rsidR="00102C27" w:rsidRPr="009317EE" w:rsidRDefault="00102C27">
      <w:pPr>
        <w:rPr>
          <w:rFonts w:asciiTheme="minorHAnsi" w:hAnsiTheme="minorHAnsi" w:cs="Calibri"/>
          <w:sz w:val="22"/>
        </w:rPr>
      </w:pPr>
      <w:r w:rsidRPr="00102C27">
        <w:rPr>
          <w:rFonts w:asciiTheme="minorHAnsi" w:hAnsiTheme="minorHAnsi" w:cs="Calibri"/>
          <w:sz w:val="22"/>
        </w:rPr>
        <w:t>The Appendix A Intake Form should require the assessor to record Yes / No / Unclear and a brief factual basis for each of the three elements before recording the overall classification result.</w:t>
      </w:r>
    </w:p>
    <w:p w14:paraId="69841520" w14:textId="77777777" w:rsidR="002B145D" w:rsidRPr="009317EE" w:rsidRDefault="00CE3A29">
      <w:pPr>
        <w:rPr>
          <w:rFonts w:asciiTheme="minorHAnsi" w:hAnsiTheme="minorHAnsi" w:cs="Calibri"/>
          <w:sz w:val="22"/>
        </w:rPr>
      </w:pPr>
      <w:r w:rsidRPr="009317EE">
        <w:rPr>
          <w:rFonts w:asciiTheme="minorHAnsi" w:hAnsiTheme="minorHAnsi" w:cs="Calibri"/>
          <w:sz w:val="22"/>
        </w:rPr>
        <w:t>This is a triage threshold only. The correct threshold wording is 'may constitute GBV' or 'capable of engaging the GBV pathway'. It is not 'GBV established', 'GBV proven' or 'allegation substantiated'.</w:t>
      </w:r>
    </w:p>
    <w:p w14:paraId="0B2B4E1C" w14:textId="77777777" w:rsidR="002B145D" w:rsidRPr="009317EE" w:rsidRDefault="00CE3A29" w:rsidP="009317EE">
      <w:pPr>
        <w:rPr>
          <w:rFonts w:asciiTheme="minorHAnsi" w:hAnsiTheme="minorHAnsi"/>
          <w:b/>
          <w:bCs/>
          <w:sz w:val="28"/>
          <w:szCs w:val="28"/>
        </w:rPr>
      </w:pPr>
      <w:r w:rsidRPr="009317EE">
        <w:rPr>
          <w:rFonts w:asciiTheme="minorHAnsi" w:hAnsiTheme="minorHAnsi"/>
          <w:b/>
          <w:bCs/>
          <w:sz w:val="28"/>
          <w:szCs w:val="28"/>
        </w:rPr>
        <w:t>If only one question is answered 'yes'</w:t>
      </w:r>
    </w:p>
    <w:p w14:paraId="176047B7"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A single 'yes' does not usually mean the matter is capable of engaging the GBV pathway. The Code pathway generally requires a reasonable basis for all three elements: Code-type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gender connection, and harm/control/fear/autonomy impact. However, the same facts may support more than one element.</w:t>
      </w:r>
    </w:p>
    <w:p w14:paraId="63ABEC27"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 xml:space="preserve">Poor management action may involve distress or psychological risk, but if there is no gender connection it may be a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psychosocial risk or HR matter rather than GBV.</w:t>
      </w:r>
    </w:p>
    <w:p w14:paraId="558F889B"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 xml:space="preserve">A workplace conflict may involve harm or distress, but if it does not involve Code-type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and has no gender connection, it should not be treated as GBV solely because it has been labelled that way.</w:t>
      </w:r>
    </w:p>
    <w:p w14:paraId="7E78867C"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 xml:space="preserve">A gendered comment may satisfy the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and gender connection elements. The team must still consider whether harm, fear, coercion, control or loss of autonomy is present or reasonably foreseeable.</w:t>
      </w:r>
    </w:p>
    <w:p w14:paraId="70CC3DA0" w14:textId="77777777" w:rsidR="002B145D" w:rsidRPr="0030491D" w:rsidRDefault="00CE3A29" w:rsidP="0030491D">
      <w:pPr>
        <w:rPr>
          <w:rFonts w:asciiTheme="minorHAnsi" w:hAnsiTheme="minorHAnsi"/>
          <w:b/>
          <w:bCs/>
          <w:sz w:val="28"/>
          <w:szCs w:val="28"/>
        </w:rPr>
      </w:pPr>
      <w:r w:rsidRPr="0030491D">
        <w:rPr>
          <w:rFonts w:asciiTheme="minorHAnsi" w:hAnsiTheme="minorHAnsi"/>
          <w:b/>
          <w:bCs/>
          <w:sz w:val="28"/>
          <w:szCs w:val="28"/>
        </w:rPr>
        <w:t>If one question is clearly 'no'</w:t>
      </w:r>
    </w:p>
    <w:p w14:paraId="6665299F" w14:textId="77777777" w:rsidR="002B145D" w:rsidRPr="009317EE" w:rsidRDefault="00CE3A29">
      <w:pPr>
        <w:rPr>
          <w:rFonts w:asciiTheme="minorHAnsi" w:hAnsiTheme="minorHAnsi" w:cs="Calibri"/>
          <w:sz w:val="22"/>
        </w:rPr>
      </w:pPr>
      <w:r w:rsidRPr="009317EE">
        <w:rPr>
          <w:rFonts w:asciiTheme="minorHAnsi" w:hAnsiTheme="minorHAnsi" w:cs="Calibri"/>
          <w:sz w:val="22"/>
        </w:rPr>
        <w:t>If one of the three elements is clearly absent, the matter may not be capable of engaging the GBV pathway and should be considered for another University pathway.</w:t>
      </w:r>
    </w:p>
    <w:p w14:paraId="51FA9466" w14:textId="77777777" w:rsidR="002B145D" w:rsidRDefault="00CE3A29">
      <w:pPr>
        <w:rPr>
          <w:rFonts w:asciiTheme="minorHAnsi" w:hAnsiTheme="minorHAnsi" w:cs="Calibri"/>
          <w:sz w:val="22"/>
        </w:rPr>
      </w:pPr>
      <w:r w:rsidRPr="009317EE">
        <w:rPr>
          <w:rFonts w:asciiTheme="minorHAnsi" w:hAnsiTheme="minorHAnsi" w:cs="Calibri"/>
          <w:sz w:val="22"/>
        </w:rPr>
        <w:t>However, if the missing element is genuinely unclear, clarification should be sought where appropriate and safe. Where classification remains genuinely uncertain, the safer approach is to treat the matter as potentially GBV-related and proceed on a precautionary safeguarding basis pending clarification, particularly where safety, psychosocial, retaliation, confidentiality, dependency, power imbalance, vulnerability or escalation indicators are present.</w:t>
      </w:r>
    </w:p>
    <w:p w14:paraId="151BEC84" w14:textId="77777777" w:rsidR="0035035A" w:rsidRPr="009317EE" w:rsidRDefault="0035035A">
      <w:pPr>
        <w:rPr>
          <w:rFonts w:asciiTheme="minorHAnsi" w:hAnsiTheme="minorHAnsi" w:cs="Calibri"/>
          <w:sz w:val="22"/>
        </w:rPr>
      </w:pPr>
    </w:p>
    <w:p w14:paraId="6B4D4729" w14:textId="77777777" w:rsidR="002B145D" w:rsidRPr="0035035A" w:rsidRDefault="00CE3A29" w:rsidP="0035035A">
      <w:pPr>
        <w:rPr>
          <w:rFonts w:asciiTheme="minorHAnsi" w:hAnsiTheme="minorHAnsi"/>
          <w:b/>
          <w:bCs/>
          <w:sz w:val="28"/>
          <w:szCs w:val="28"/>
        </w:rPr>
      </w:pPr>
      <w:r w:rsidRPr="0035035A">
        <w:rPr>
          <w:rFonts w:asciiTheme="minorHAnsi" w:hAnsiTheme="minorHAnsi"/>
          <w:b/>
          <w:bCs/>
          <w:sz w:val="28"/>
          <w:szCs w:val="28"/>
        </w:rPr>
        <w:t>If one fact answers more than one question</w:t>
      </w:r>
    </w:p>
    <w:p w14:paraId="0EAFED7A" w14:textId="77777777" w:rsidR="002B145D" w:rsidRPr="009317EE" w:rsidRDefault="00CE3A29">
      <w:pPr>
        <w:rPr>
          <w:rFonts w:asciiTheme="minorHAnsi" w:hAnsiTheme="minorHAnsi" w:cs="Calibri"/>
          <w:sz w:val="22"/>
        </w:rPr>
      </w:pPr>
      <w:r w:rsidRPr="009317EE">
        <w:rPr>
          <w:rFonts w:asciiTheme="minorHAnsi" w:hAnsiTheme="minorHAnsi" w:cs="Calibri"/>
          <w:sz w:val="22"/>
        </w:rPr>
        <w:t>Some facts may answer more than one part of the test. For example:</w:t>
      </w:r>
    </w:p>
    <w:p w14:paraId="0E362549" w14:textId="77777777" w:rsidR="002B145D" w:rsidRPr="009317EE" w:rsidRDefault="00CE3A29">
      <w:pPr>
        <w:pStyle w:val="ListBullet"/>
        <w:rPr>
          <w:rFonts w:asciiTheme="minorHAnsi" w:hAnsiTheme="minorHAnsi" w:cs="Calibri"/>
          <w:sz w:val="22"/>
        </w:rPr>
      </w:pPr>
      <w:proofErr w:type="spellStart"/>
      <w:r w:rsidRPr="009317EE">
        <w:rPr>
          <w:rFonts w:asciiTheme="minorHAnsi" w:hAnsiTheme="minorHAnsi" w:cs="Calibri"/>
          <w:sz w:val="22"/>
        </w:rPr>
        <w:t>sexualised</w:t>
      </w:r>
      <w:proofErr w:type="spellEnd"/>
      <w:r w:rsidRPr="009317EE">
        <w:rPr>
          <w:rFonts w:asciiTheme="minorHAnsi" w:hAnsiTheme="minorHAnsi" w:cs="Calibri"/>
          <w:sz w:val="22"/>
        </w:rPr>
        <w:t xml:space="preserve"> threats may indicate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gender connection and harm/fear</w:t>
      </w:r>
    </w:p>
    <w:p w14:paraId="4E410B54"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 xml:space="preserve">gendered humiliation by a supervisor may indicate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gender connection and power/control</w:t>
      </w:r>
    </w:p>
    <w:p w14:paraId="305C7CFE"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lastRenderedPageBreak/>
        <w:t xml:space="preserve">coercive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in an intimate or former intimate relationship may indicate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gender connection and control/autonomy impact</w:t>
      </w:r>
    </w:p>
    <w:p w14:paraId="6733F031" w14:textId="77777777" w:rsidR="002B145D" w:rsidRPr="009317EE" w:rsidRDefault="00CE3A29">
      <w:pPr>
        <w:rPr>
          <w:rFonts w:asciiTheme="minorHAnsi" w:hAnsiTheme="minorHAnsi" w:cs="Calibri"/>
          <w:sz w:val="22"/>
        </w:rPr>
      </w:pPr>
      <w:r w:rsidRPr="009317EE">
        <w:rPr>
          <w:rFonts w:asciiTheme="minorHAnsi" w:hAnsiTheme="minorHAnsi" w:cs="Calibri"/>
          <w:sz w:val="22"/>
        </w:rPr>
        <w:t>The team does not need separate evidence for each question if the same facts reasonably support more than one element. The rationale should be briefly recorded in Appendix A.</w:t>
      </w:r>
    </w:p>
    <w:p w14:paraId="4E92726C" w14:textId="77777777" w:rsidR="00176944" w:rsidRDefault="001537F1">
      <w:r>
        <w:t>Clarification where information is unclear</w:t>
      </w:r>
    </w:p>
    <w:p w14:paraId="633C8547" w14:textId="77777777" w:rsidR="00176944" w:rsidRDefault="001537F1">
      <w:r>
        <w:t>Where information is unclear, the triage assessor should, where appropriate and safe, seek clarification from the person who made the disclosure or report. Clarification should focus on the information needed to apply the triage questions, including the conduct reported, any gender-based, sexuality, relationship or power context, and the reported impact, including harm, fear, coercion, control or loss of autonomy.</w:t>
      </w:r>
    </w:p>
    <w:p w14:paraId="23D1F226" w14:textId="77777777" w:rsidR="00176944" w:rsidRDefault="001537F1">
      <w:r>
        <w:t>Where SCU proposes to redirect the matter outside the GBV pathway, the person should, where appropriate and safe, be informed of the preliminary classification view and the reason for it, and given a reasonable opportunity to provide further information relevant to classification before the final pathway decision is made.</w:t>
      </w:r>
    </w:p>
    <w:p w14:paraId="1F4212AD" w14:textId="77777777" w:rsidR="0007740A" w:rsidRDefault="0007740A" w:rsidP="00AA2480">
      <w:pPr>
        <w:rPr>
          <w:rFonts w:asciiTheme="minorHAnsi" w:hAnsiTheme="minorHAnsi"/>
          <w:b/>
          <w:bCs/>
          <w:sz w:val="28"/>
          <w:szCs w:val="28"/>
        </w:rPr>
      </w:pPr>
    </w:p>
    <w:p w14:paraId="48437139" w14:textId="2DD862E0" w:rsidR="002B145D" w:rsidRPr="00AA2480" w:rsidRDefault="00CE3A29" w:rsidP="00AA2480">
      <w:pPr>
        <w:rPr>
          <w:rFonts w:asciiTheme="minorHAnsi" w:hAnsiTheme="minorHAnsi"/>
          <w:b/>
          <w:bCs/>
          <w:sz w:val="28"/>
          <w:szCs w:val="28"/>
        </w:rPr>
      </w:pPr>
      <w:r w:rsidRPr="00AA2480">
        <w:rPr>
          <w:rFonts w:asciiTheme="minorHAnsi" w:hAnsiTheme="minorHAnsi"/>
          <w:b/>
          <w:bCs/>
          <w:sz w:val="28"/>
          <w:szCs w:val="28"/>
        </w:rPr>
        <w:t>Decision outcomes for Section 3</w:t>
      </w:r>
    </w:p>
    <w:tbl>
      <w:tblPr>
        <w:tblStyle w:val="TableGrid"/>
        <w:tblW w:w="0" w:type="auto"/>
        <w:tblLook w:val="04A0" w:firstRow="1" w:lastRow="0" w:firstColumn="1" w:lastColumn="0" w:noHBand="0" w:noVBand="1"/>
      </w:tblPr>
      <w:tblGrid>
        <w:gridCol w:w="3356"/>
        <w:gridCol w:w="3356"/>
        <w:gridCol w:w="3358"/>
      </w:tblGrid>
      <w:tr w:rsidR="002B145D" w:rsidRPr="009317EE" w14:paraId="3BCB1AB6" w14:textId="77777777" w:rsidTr="00AA2480">
        <w:tc>
          <w:tcPr>
            <w:tcW w:w="3360" w:type="dxa"/>
            <w:shd w:val="clear" w:color="auto" w:fill="E7E6E6"/>
          </w:tcPr>
          <w:p w14:paraId="5E5B743E" w14:textId="77777777" w:rsidR="002B145D" w:rsidRPr="00AA2480" w:rsidRDefault="00CE3A29" w:rsidP="00AA2480">
            <w:pPr>
              <w:jc w:val="center"/>
              <w:rPr>
                <w:rFonts w:asciiTheme="minorHAnsi" w:hAnsiTheme="minorHAnsi" w:cs="Calibri"/>
                <w:sz w:val="22"/>
              </w:rPr>
            </w:pPr>
            <w:r w:rsidRPr="00AA2480">
              <w:rPr>
                <w:rFonts w:asciiTheme="minorHAnsi" w:hAnsiTheme="minorHAnsi" w:cs="Calibri"/>
                <w:b/>
                <w:sz w:val="22"/>
              </w:rPr>
              <w:t>Outcome</w:t>
            </w:r>
          </w:p>
        </w:tc>
        <w:tc>
          <w:tcPr>
            <w:tcW w:w="3360" w:type="dxa"/>
            <w:shd w:val="clear" w:color="auto" w:fill="E7E6E6"/>
          </w:tcPr>
          <w:p w14:paraId="758754DF" w14:textId="77777777" w:rsidR="002B145D" w:rsidRPr="00AA2480" w:rsidRDefault="00CE3A29" w:rsidP="00AA2480">
            <w:pPr>
              <w:jc w:val="center"/>
              <w:rPr>
                <w:rFonts w:asciiTheme="minorHAnsi" w:hAnsiTheme="minorHAnsi" w:cs="Calibri"/>
                <w:sz w:val="22"/>
              </w:rPr>
            </w:pPr>
            <w:r w:rsidRPr="00AA2480">
              <w:rPr>
                <w:rFonts w:asciiTheme="minorHAnsi" w:hAnsiTheme="minorHAnsi" w:cs="Calibri"/>
                <w:b/>
                <w:sz w:val="22"/>
              </w:rPr>
              <w:t>When to use</w:t>
            </w:r>
          </w:p>
        </w:tc>
        <w:tc>
          <w:tcPr>
            <w:tcW w:w="3360" w:type="dxa"/>
            <w:shd w:val="clear" w:color="auto" w:fill="E7E6E6"/>
          </w:tcPr>
          <w:p w14:paraId="63CFF3DC" w14:textId="77777777" w:rsidR="002B145D" w:rsidRPr="00AA2480" w:rsidRDefault="00CE3A29" w:rsidP="00AA2480">
            <w:pPr>
              <w:jc w:val="center"/>
              <w:rPr>
                <w:rFonts w:asciiTheme="minorHAnsi" w:hAnsiTheme="minorHAnsi" w:cs="Calibri"/>
                <w:sz w:val="22"/>
              </w:rPr>
            </w:pPr>
            <w:r w:rsidRPr="00AA2480">
              <w:rPr>
                <w:rFonts w:asciiTheme="minorHAnsi" w:hAnsiTheme="minorHAnsi" w:cs="Calibri"/>
                <w:b/>
                <w:sz w:val="22"/>
              </w:rPr>
              <w:t>What to record / next step</w:t>
            </w:r>
          </w:p>
        </w:tc>
      </w:tr>
      <w:tr w:rsidR="002B145D" w:rsidRPr="009317EE" w14:paraId="1652BA5D" w14:textId="77777777">
        <w:tc>
          <w:tcPr>
            <w:tcW w:w="3360" w:type="dxa"/>
          </w:tcPr>
          <w:p w14:paraId="79CC7F25" w14:textId="77777777" w:rsidR="002B145D" w:rsidRPr="009317EE" w:rsidRDefault="00CE3A29">
            <w:pPr>
              <w:rPr>
                <w:rFonts w:asciiTheme="minorHAnsi" w:hAnsiTheme="minorHAnsi" w:cs="Calibri"/>
                <w:sz w:val="22"/>
              </w:rPr>
            </w:pPr>
            <w:r w:rsidRPr="009317EE">
              <w:rPr>
                <w:rFonts w:asciiTheme="minorHAnsi" w:hAnsiTheme="minorHAnsi" w:cs="Calibri"/>
                <w:b/>
                <w:sz w:val="22"/>
              </w:rPr>
              <w:t>A. Yes - capable of engaging the GBV pathway</w:t>
            </w:r>
          </w:p>
        </w:tc>
        <w:tc>
          <w:tcPr>
            <w:tcW w:w="3360" w:type="dxa"/>
          </w:tcPr>
          <w:p w14:paraId="3536B623" w14:textId="77777777" w:rsidR="002B145D" w:rsidRPr="009317EE" w:rsidRDefault="00CE3A29">
            <w:pPr>
              <w:rPr>
                <w:rFonts w:asciiTheme="minorHAnsi" w:hAnsiTheme="minorHAnsi" w:cs="Calibri"/>
                <w:sz w:val="22"/>
              </w:rPr>
            </w:pPr>
            <w:r w:rsidRPr="009317EE">
              <w:rPr>
                <w:rFonts w:asciiTheme="minorHAnsi" w:hAnsiTheme="minorHAnsi" w:cs="Calibri"/>
                <w:sz w:val="22"/>
              </w:rPr>
              <w:t>Use where the three-part test supports a reasonable basis that the matter may constitute GBV.</w:t>
            </w:r>
          </w:p>
        </w:tc>
        <w:tc>
          <w:tcPr>
            <w:tcW w:w="3360" w:type="dxa"/>
          </w:tcPr>
          <w:p w14:paraId="0EF634C2"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Record: 'Yes - the reported conduct appears capable of falling within the GBV definition.' Complete Appendix A Sections 4 and 6. Consider Step 2 - Immediate Safety and Risk Screening and any parallel </w:t>
            </w:r>
            <w:proofErr w:type="spellStart"/>
            <w:r w:rsidRPr="009317EE">
              <w:rPr>
                <w:rFonts w:asciiTheme="minorHAnsi" w:hAnsiTheme="minorHAnsi" w:cs="Calibri"/>
                <w:sz w:val="22"/>
              </w:rPr>
              <w:t>WHS</w:t>
            </w:r>
            <w:proofErr w:type="spellEnd"/>
            <w:r w:rsidRPr="009317EE">
              <w:rPr>
                <w:rFonts w:asciiTheme="minorHAnsi" w:hAnsiTheme="minorHAnsi" w:cs="Calibri"/>
                <w:sz w:val="22"/>
              </w:rPr>
              <w:t>, HR, conduct, legal or external reporting pathways.</w:t>
            </w:r>
          </w:p>
        </w:tc>
      </w:tr>
      <w:tr w:rsidR="002B145D" w:rsidRPr="009317EE" w14:paraId="604A78B6" w14:textId="77777777">
        <w:tc>
          <w:tcPr>
            <w:tcW w:w="3360" w:type="dxa"/>
          </w:tcPr>
          <w:p w14:paraId="7EC44AFD" w14:textId="77777777" w:rsidR="002B145D" w:rsidRPr="009317EE" w:rsidRDefault="00CE3A29">
            <w:pPr>
              <w:rPr>
                <w:rFonts w:asciiTheme="minorHAnsi" w:hAnsiTheme="minorHAnsi" w:cs="Calibri"/>
                <w:sz w:val="22"/>
              </w:rPr>
            </w:pPr>
            <w:r w:rsidRPr="009317EE">
              <w:rPr>
                <w:rFonts w:asciiTheme="minorHAnsi" w:hAnsiTheme="minorHAnsi" w:cs="Calibri"/>
                <w:b/>
                <w:sz w:val="22"/>
              </w:rPr>
              <w:t>B. No - not capable of engaging the GBV pathway</w:t>
            </w:r>
          </w:p>
        </w:tc>
        <w:tc>
          <w:tcPr>
            <w:tcW w:w="3360" w:type="dxa"/>
          </w:tcPr>
          <w:p w14:paraId="4B7DB782" w14:textId="77777777" w:rsidR="002B145D" w:rsidRPr="009317EE" w:rsidRDefault="00CE3A29">
            <w:pPr>
              <w:rPr>
                <w:rFonts w:asciiTheme="minorHAnsi" w:hAnsiTheme="minorHAnsi" w:cs="Calibri"/>
                <w:sz w:val="22"/>
              </w:rPr>
            </w:pPr>
            <w:r w:rsidRPr="009317EE">
              <w:rPr>
                <w:rFonts w:asciiTheme="minorHAnsi" w:hAnsiTheme="minorHAnsi" w:cs="Calibri"/>
                <w:sz w:val="22"/>
              </w:rPr>
              <w:t>Use where, even if the report is taken at its highest, it does not appear capable of meeting the Code definition.</w:t>
            </w:r>
          </w:p>
        </w:tc>
        <w:tc>
          <w:tcPr>
            <w:tcW w:w="3360" w:type="dxa"/>
          </w:tcPr>
          <w:p w14:paraId="30F5C9C6"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Record: 'No - the matter does not appear capable of engaging the GBV pathway on the information available.' Complete Appendix A Sections 4, 4B and 6 to record the alternative pathway, rationale, clarification/procedural fairness steps, and support,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controls or interim safety measures considered. Support and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risk controls may still be required.</w:t>
            </w:r>
          </w:p>
        </w:tc>
      </w:tr>
      <w:tr w:rsidR="002B145D" w:rsidRPr="009317EE" w14:paraId="30BA1C9A" w14:textId="77777777">
        <w:tc>
          <w:tcPr>
            <w:tcW w:w="3360" w:type="dxa"/>
          </w:tcPr>
          <w:p w14:paraId="2405B868" w14:textId="77777777" w:rsidR="002B145D" w:rsidRPr="009317EE" w:rsidRDefault="00CE3A29">
            <w:pPr>
              <w:rPr>
                <w:rFonts w:asciiTheme="minorHAnsi" w:hAnsiTheme="minorHAnsi" w:cs="Calibri"/>
                <w:sz w:val="22"/>
              </w:rPr>
            </w:pPr>
            <w:r w:rsidRPr="009317EE">
              <w:rPr>
                <w:rFonts w:asciiTheme="minorHAnsi" w:hAnsiTheme="minorHAnsi" w:cs="Calibri"/>
                <w:b/>
                <w:sz w:val="22"/>
              </w:rPr>
              <w:t>C. Unclear - requires clarification</w:t>
            </w:r>
          </w:p>
        </w:tc>
        <w:tc>
          <w:tcPr>
            <w:tcW w:w="3360" w:type="dxa"/>
          </w:tcPr>
          <w:p w14:paraId="0A8042E7" w14:textId="77777777" w:rsidR="002B145D" w:rsidRPr="009317EE" w:rsidRDefault="00CE3A29">
            <w:pPr>
              <w:rPr>
                <w:rFonts w:asciiTheme="minorHAnsi" w:hAnsiTheme="minorHAnsi" w:cs="Calibri"/>
                <w:sz w:val="22"/>
              </w:rPr>
            </w:pPr>
            <w:r w:rsidRPr="009317EE">
              <w:rPr>
                <w:rFonts w:asciiTheme="minorHAnsi" w:hAnsiTheme="minorHAnsi" w:cs="Calibri"/>
                <w:sz w:val="22"/>
              </w:rPr>
              <w:t>Use where there is not enough information to determine whether the matter is capable of engaging the GBV pathway.</w:t>
            </w:r>
          </w:p>
        </w:tc>
        <w:tc>
          <w:tcPr>
            <w:tcW w:w="3360" w:type="dxa"/>
          </w:tcPr>
          <w:p w14:paraId="75935894"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Record: 'Unclear - further clarification is required before final classification.' If safety, psychosocial, retaliation, confidentiality, dependency, power imbalance, vulnerability or escalation indicators are present, proceed to Step 2 on a </w:t>
            </w:r>
            <w:r w:rsidRPr="009317EE">
              <w:rPr>
                <w:rFonts w:asciiTheme="minorHAnsi" w:hAnsiTheme="minorHAnsi" w:cs="Calibri"/>
                <w:sz w:val="22"/>
              </w:rPr>
              <w:lastRenderedPageBreak/>
              <w:t>precautionary safeguarding basis pending clarification.</w:t>
            </w:r>
          </w:p>
        </w:tc>
      </w:tr>
    </w:tbl>
    <w:p w14:paraId="6EE81D14" w14:textId="77777777" w:rsidR="002B145D" w:rsidRPr="009317EE" w:rsidRDefault="002B145D">
      <w:pPr>
        <w:rPr>
          <w:rFonts w:asciiTheme="minorHAnsi" w:hAnsiTheme="minorHAnsi" w:cs="Calibri"/>
          <w:sz w:val="22"/>
        </w:rPr>
      </w:pPr>
    </w:p>
    <w:p w14:paraId="04F59061" w14:textId="77777777" w:rsidR="002B145D" w:rsidRPr="00052650" w:rsidRDefault="00CE3A29" w:rsidP="00052650">
      <w:pPr>
        <w:rPr>
          <w:rFonts w:asciiTheme="minorHAnsi" w:hAnsiTheme="minorHAnsi"/>
          <w:b/>
          <w:bCs/>
          <w:sz w:val="28"/>
          <w:szCs w:val="28"/>
        </w:rPr>
      </w:pPr>
      <w:r w:rsidRPr="00052650">
        <w:rPr>
          <w:rFonts w:asciiTheme="minorHAnsi" w:hAnsiTheme="minorHAnsi"/>
          <w:b/>
          <w:bCs/>
          <w:sz w:val="28"/>
          <w:szCs w:val="28"/>
        </w:rPr>
        <w:t>Specific guidance for management action and use-of-authority matters</w:t>
      </w:r>
    </w:p>
    <w:p w14:paraId="5BB09268" w14:textId="77777777" w:rsidR="002B145D" w:rsidRPr="009317EE" w:rsidRDefault="00CE3A29">
      <w:pPr>
        <w:rPr>
          <w:rFonts w:asciiTheme="minorHAnsi" w:hAnsiTheme="minorHAnsi" w:cs="Calibri"/>
          <w:sz w:val="22"/>
        </w:rPr>
      </w:pPr>
      <w:r w:rsidRPr="009317EE">
        <w:rPr>
          <w:rFonts w:asciiTheme="minorHAnsi" w:hAnsiTheme="minorHAnsi" w:cs="Calibri"/>
          <w:sz w:val="22"/>
        </w:rPr>
        <w:t>Where the report involves management action, supervision, academic supervision, performance management, work allocation, workload, direction, discipline, reporting lines, grading, assessment, placement control or other use of authority, apply the three-part test with the prompts below.</w:t>
      </w:r>
    </w:p>
    <w:p w14:paraId="1FED9053" w14:textId="77777777" w:rsidR="00176944" w:rsidRDefault="001537F1">
      <w:r>
        <w:t>Routine supervisory, academic or management actions, including feedback, direction of work or study, reporting-line changes, workload allocation, performance management, disciplinary processes, grading, assessment or placement decisions, do not generally involve violence, harassment, abuse or threats by their nature. However, context, manner, pattern, dependency, gender connection and power imbalance must be considered.</w:t>
      </w:r>
    </w:p>
    <w:p w14:paraId="77C6933F" w14:textId="77777777" w:rsidR="002B145D" w:rsidRPr="009321FC" w:rsidRDefault="00CE3A29" w:rsidP="009321FC">
      <w:pPr>
        <w:rPr>
          <w:rFonts w:asciiTheme="minorHAnsi" w:hAnsiTheme="minorHAnsi"/>
          <w:b/>
          <w:bCs/>
          <w:sz w:val="28"/>
          <w:szCs w:val="28"/>
        </w:rPr>
      </w:pPr>
      <w:r w:rsidRPr="009321FC">
        <w:rPr>
          <w:rFonts w:asciiTheme="minorHAnsi" w:hAnsiTheme="minorHAnsi"/>
          <w:b/>
          <w:bCs/>
          <w:sz w:val="28"/>
          <w:szCs w:val="28"/>
        </w:rPr>
        <w:t>Work or study purpose</w:t>
      </w:r>
    </w:p>
    <w:p w14:paraId="180BC296"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Is there an identifiable work, study, performance, conduct, safety or operational reason for the action?</w:t>
      </w:r>
    </w:p>
    <w:p w14:paraId="1634C126"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Is the action connected to role requirements, study requirements, performance, conduct, safety, supervision or operational needs?</w:t>
      </w:r>
    </w:p>
    <w:p w14:paraId="00E27B51" w14:textId="77777777" w:rsidR="002B145D" w:rsidRPr="009321FC" w:rsidRDefault="00CE3A29">
      <w:pPr>
        <w:rPr>
          <w:rFonts w:asciiTheme="minorHAnsi" w:hAnsiTheme="minorHAnsi"/>
          <w:b/>
          <w:bCs/>
          <w:sz w:val="28"/>
          <w:szCs w:val="28"/>
        </w:rPr>
      </w:pPr>
      <w:r w:rsidRPr="009317EE">
        <w:rPr>
          <w:rFonts w:asciiTheme="minorHAnsi" w:hAnsiTheme="minorHAnsi" w:cs="Calibri"/>
          <w:sz w:val="22"/>
        </w:rPr>
        <w:t>If yes, the matter may involve management action or academic supervision. Continue to assess manner, gender connection and harm. If no, consider whether authority may be being used for a purpose unrelated to work or study.</w:t>
      </w:r>
    </w:p>
    <w:p w14:paraId="0BA181DC" w14:textId="77777777" w:rsidR="002B145D" w:rsidRPr="009321FC" w:rsidRDefault="00CE3A29" w:rsidP="009321FC">
      <w:pPr>
        <w:rPr>
          <w:rFonts w:asciiTheme="minorHAnsi" w:hAnsiTheme="minorHAnsi"/>
          <w:b/>
          <w:bCs/>
          <w:sz w:val="28"/>
          <w:szCs w:val="28"/>
        </w:rPr>
      </w:pPr>
      <w:r w:rsidRPr="009321FC">
        <w:rPr>
          <w:rFonts w:asciiTheme="minorHAnsi" w:hAnsiTheme="minorHAnsi"/>
          <w:b/>
          <w:bCs/>
          <w:sz w:val="28"/>
          <w:szCs w:val="28"/>
        </w:rPr>
        <w:t>Manner and proportionality</w:t>
      </w:r>
    </w:p>
    <w:p w14:paraId="4DFF8793"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Was the action delivered respectfully and privately where appropriate?</w:t>
      </w:r>
    </w:p>
    <w:p w14:paraId="5F00EFA6"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Were expectations clear?</w:t>
      </w:r>
    </w:p>
    <w:p w14:paraId="41F6A259"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Was the person given a reasonable opportunity to respond where required?</w:t>
      </w:r>
    </w:p>
    <w:p w14:paraId="2DBF1184"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Was the action proportionate to the issue being managed?</w:t>
      </w:r>
    </w:p>
    <w:p w14:paraId="160FBEFC"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Was the approach consistent with how similar matters are managed?</w:t>
      </w:r>
    </w:p>
    <w:p w14:paraId="751E8EB4"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Poor manner, unfair process or inconsistency may indicate a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psychosocial risk, HR issue, bullying, harassment or misconduct pathway. It does not become GBV unless there is also a reasonable gender connection and harm/control/fear/autonomy impact. Subjective distress is relevant to support and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risk assessment, but is not by itself sufficient to classify the matter as GBV.</w:t>
      </w:r>
    </w:p>
    <w:p w14:paraId="30558255" w14:textId="77777777" w:rsidR="002B145D" w:rsidRPr="009321FC" w:rsidRDefault="00CE3A29" w:rsidP="009321FC">
      <w:pPr>
        <w:rPr>
          <w:rFonts w:asciiTheme="minorHAnsi" w:hAnsiTheme="minorHAnsi"/>
          <w:b/>
          <w:bCs/>
          <w:sz w:val="28"/>
          <w:szCs w:val="28"/>
        </w:rPr>
      </w:pPr>
      <w:r w:rsidRPr="009321FC">
        <w:rPr>
          <w:rFonts w:asciiTheme="minorHAnsi" w:hAnsiTheme="minorHAnsi"/>
          <w:b/>
          <w:bCs/>
          <w:sz w:val="28"/>
          <w:szCs w:val="28"/>
        </w:rPr>
        <w:t>Pattern, control and power</w:t>
      </w:r>
    </w:p>
    <w:p w14:paraId="5B75C2EE"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Is there a repeated pattern rather than a single action?</w:t>
      </w:r>
    </w:p>
    <w:p w14:paraId="4FC40C50"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 xml:space="preserve">Does the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restrict autonomy beyond what is necessary for work or study?</w:t>
      </w:r>
    </w:p>
    <w:p w14:paraId="2F192976"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Is there excessive monitoring, isolation, exclusion, intimidation or pressure?</w:t>
      </w:r>
    </w:p>
    <w:p w14:paraId="735869E2"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Does the person appear unable to safely refuse, disagree, disengage or report?</w:t>
      </w:r>
    </w:p>
    <w:p w14:paraId="21E2F106"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Is there a dependency relationship, such as supervisor, manager, academic, assessor, placement supervisor, housing, funding, visa, grading or employment control?</w:t>
      </w:r>
    </w:p>
    <w:p w14:paraId="1A4538A4" w14:textId="77777777" w:rsidR="002B145D" w:rsidRPr="009317EE" w:rsidRDefault="00CE3A29">
      <w:pPr>
        <w:rPr>
          <w:rFonts w:asciiTheme="minorHAnsi" w:hAnsiTheme="minorHAnsi" w:cs="Calibri"/>
          <w:sz w:val="22"/>
        </w:rPr>
      </w:pPr>
      <w:r w:rsidRPr="009317EE">
        <w:rPr>
          <w:rFonts w:asciiTheme="minorHAnsi" w:hAnsiTheme="minorHAnsi" w:cs="Calibri"/>
          <w:sz w:val="22"/>
        </w:rPr>
        <w:lastRenderedPageBreak/>
        <w:t xml:space="preserve">A pattern of control, intimidation, dependency or misuse of authority may support a safeguarding response. It may also indicate a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psychosocial, HR or conduct pathway. It becomes capable of engaging the GBV pathway where the pattern is also connected to gender, sexuality, gender identity, relationship context or gendered power imbalance, and has resulted in, or is likely to result in, harm, coercion, control, fear or loss of autonomy.</w:t>
      </w:r>
    </w:p>
    <w:p w14:paraId="6C9AADAA" w14:textId="77777777" w:rsidR="002B145D" w:rsidRPr="00A66093" w:rsidRDefault="00CE3A29" w:rsidP="00A66093">
      <w:pPr>
        <w:rPr>
          <w:rFonts w:asciiTheme="minorHAnsi" w:hAnsiTheme="minorHAnsi"/>
          <w:b/>
          <w:bCs/>
          <w:sz w:val="28"/>
          <w:szCs w:val="28"/>
        </w:rPr>
      </w:pPr>
      <w:r w:rsidRPr="00A66093">
        <w:rPr>
          <w:rFonts w:asciiTheme="minorHAnsi" w:hAnsiTheme="minorHAnsi"/>
          <w:b/>
          <w:bCs/>
          <w:sz w:val="28"/>
          <w:szCs w:val="28"/>
        </w:rPr>
        <w:t>Gender connection in management action matters</w:t>
      </w:r>
    </w:p>
    <w:p w14:paraId="0505348B"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 xml:space="preserve">Are there gendered or </w:t>
      </w:r>
      <w:proofErr w:type="spellStart"/>
      <w:r w:rsidRPr="009317EE">
        <w:rPr>
          <w:rFonts w:asciiTheme="minorHAnsi" w:hAnsiTheme="minorHAnsi" w:cs="Calibri"/>
          <w:sz w:val="22"/>
        </w:rPr>
        <w:t>sexualised</w:t>
      </w:r>
      <w:proofErr w:type="spellEnd"/>
      <w:r w:rsidRPr="009317EE">
        <w:rPr>
          <w:rFonts w:asciiTheme="minorHAnsi" w:hAnsiTheme="minorHAnsi" w:cs="Calibri"/>
          <w:sz w:val="22"/>
        </w:rPr>
        <w:t xml:space="preserve"> comments?</w:t>
      </w:r>
    </w:p>
    <w:p w14:paraId="33BD6D9F"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Are gender stereotypes being used or implied?</w:t>
      </w:r>
    </w:p>
    <w:p w14:paraId="05233E4A"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Are people of one gender or gender-diverse people being treated differently?</w:t>
      </w:r>
    </w:p>
    <w:p w14:paraId="341941F9"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 xml:space="preserve">Are similar </w:t>
      </w:r>
      <w:proofErr w:type="spellStart"/>
      <w:r w:rsidRPr="009317EE">
        <w:rPr>
          <w:rFonts w:asciiTheme="minorHAnsi" w:hAnsiTheme="minorHAnsi" w:cs="Calibri"/>
          <w:sz w:val="22"/>
        </w:rPr>
        <w:t>behaviours</w:t>
      </w:r>
      <w:proofErr w:type="spellEnd"/>
      <w:r w:rsidRPr="009317EE">
        <w:rPr>
          <w:rFonts w:asciiTheme="minorHAnsi" w:hAnsiTheme="minorHAnsi" w:cs="Calibri"/>
          <w:sz w:val="22"/>
        </w:rPr>
        <w:t xml:space="preserve"> managed differently depending on gender?</w:t>
      </w:r>
    </w:p>
    <w:p w14:paraId="4804C3ED"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Does the conduct occur in a gendered power context?</w:t>
      </w:r>
    </w:p>
    <w:p w14:paraId="79DD2619"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Is the person being excluded, undermined or controlled in a way connected to gender, sexuality, gender identity or relationship context?</w:t>
      </w:r>
    </w:p>
    <w:p w14:paraId="340B8678" w14:textId="77777777" w:rsidR="002B145D" w:rsidRPr="009317EE" w:rsidRDefault="00CE3A29">
      <w:pPr>
        <w:pStyle w:val="ListBullet"/>
        <w:rPr>
          <w:rFonts w:asciiTheme="minorHAnsi" w:hAnsiTheme="minorHAnsi" w:cs="Calibri"/>
          <w:sz w:val="22"/>
        </w:rPr>
      </w:pPr>
      <w:r w:rsidRPr="009317EE">
        <w:rPr>
          <w:rFonts w:asciiTheme="minorHAnsi" w:hAnsiTheme="minorHAnsi" w:cs="Calibri"/>
          <w:sz w:val="22"/>
        </w:rPr>
        <w:t>Would the conduct likely have occurred in the same way if the person’s gender, sexuality, gender identity or relationship context were different?</w:t>
      </w:r>
    </w:p>
    <w:p w14:paraId="393266F6"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If there is no reasonable gender connection, the matter should not be treated as GBV solely because the management action caused distress or was poorly handled. It may still need referral to </w:t>
      </w:r>
      <w:proofErr w:type="spellStart"/>
      <w:r w:rsidRPr="009317EE">
        <w:rPr>
          <w:rFonts w:asciiTheme="minorHAnsi" w:hAnsiTheme="minorHAnsi" w:cs="Calibri"/>
          <w:sz w:val="22"/>
        </w:rPr>
        <w:t>WHS</w:t>
      </w:r>
      <w:proofErr w:type="spellEnd"/>
      <w:r w:rsidRPr="009317EE">
        <w:rPr>
          <w:rFonts w:asciiTheme="minorHAnsi" w:hAnsiTheme="minorHAnsi" w:cs="Calibri"/>
          <w:sz w:val="22"/>
        </w:rPr>
        <w:t>, HR, conduct, complaints, performance management or another pathway.</w:t>
      </w:r>
    </w:p>
    <w:p w14:paraId="5DA4BC23" w14:textId="77777777" w:rsidR="002B145D" w:rsidRPr="0059267D" w:rsidRDefault="00CE3A29" w:rsidP="0059267D">
      <w:pPr>
        <w:rPr>
          <w:rFonts w:asciiTheme="minorHAnsi" w:hAnsiTheme="minorHAnsi"/>
          <w:b/>
          <w:bCs/>
          <w:sz w:val="28"/>
          <w:szCs w:val="28"/>
        </w:rPr>
      </w:pPr>
      <w:r w:rsidRPr="0059267D">
        <w:rPr>
          <w:rFonts w:asciiTheme="minorHAnsi" w:hAnsiTheme="minorHAnsi"/>
          <w:b/>
          <w:bCs/>
          <w:sz w:val="28"/>
          <w:szCs w:val="28"/>
        </w:rPr>
        <w:t>Examples of pathway distinctions</w:t>
      </w:r>
    </w:p>
    <w:tbl>
      <w:tblPr>
        <w:tblStyle w:val="TableGrid"/>
        <w:tblW w:w="0" w:type="auto"/>
        <w:tblLook w:val="04A0" w:firstRow="1" w:lastRow="0" w:firstColumn="1" w:lastColumn="0" w:noHBand="0" w:noVBand="1"/>
      </w:tblPr>
      <w:tblGrid>
        <w:gridCol w:w="3356"/>
        <w:gridCol w:w="3356"/>
        <w:gridCol w:w="3358"/>
      </w:tblGrid>
      <w:tr w:rsidR="002B145D" w:rsidRPr="009317EE" w14:paraId="764BD651" w14:textId="77777777" w:rsidTr="0059267D">
        <w:trPr>
          <w:trHeight w:val="463"/>
        </w:trPr>
        <w:tc>
          <w:tcPr>
            <w:tcW w:w="3360" w:type="dxa"/>
            <w:shd w:val="clear" w:color="auto" w:fill="E7E6E6"/>
          </w:tcPr>
          <w:p w14:paraId="13D28394" w14:textId="77777777" w:rsidR="002B145D" w:rsidRPr="0059267D" w:rsidRDefault="00CE3A29" w:rsidP="0059267D">
            <w:pPr>
              <w:jc w:val="center"/>
              <w:rPr>
                <w:rFonts w:asciiTheme="minorHAnsi" w:hAnsiTheme="minorHAnsi" w:cs="Calibri"/>
                <w:sz w:val="22"/>
              </w:rPr>
            </w:pPr>
            <w:r w:rsidRPr="0059267D">
              <w:rPr>
                <w:rFonts w:asciiTheme="minorHAnsi" w:hAnsiTheme="minorHAnsi" w:cs="Calibri"/>
                <w:b/>
                <w:sz w:val="22"/>
              </w:rPr>
              <w:t>Reported issue</w:t>
            </w:r>
          </w:p>
        </w:tc>
        <w:tc>
          <w:tcPr>
            <w:tcW w:w="3360" w:type="dxa"/>
            <w:shd w:val="clear" w:color="auto" w:fill="E7E6E6"/>
          </w:tcPr>
          <w:p w14:paraId="0E0E77B8" w14:textId="77777777" w:rsidR="002B145D" w:rsidRPr="0059267D" w:rsidRDefault="00CE3A29" w:rsidP="0059267D">
            <w:pPr>
              <w:jc w:val="center"/>
              <w:rPr>
                <w:rFonts w:asciiTheme="minorHAnsi" w:hAnsiTheme="minorHAnsi" w:cs="Calibri"/>
                <w:sz w:val="22"/>
              </w:rPr>
            </w:pPr>
            <w:r w:rsidRPr="0059267D">
              <w:rPr>
                <w:rFonts w:asciiTheme="minorHAnsi" w:hAnsiTheme="minorHAnsi" w:cs="Calibri"/>
                <w:b/>
                <w:sz w:val="22"/>
              </w:rPr>
              <w:t>Possible triage view</w:t>
            </w:r>
          </w:p>
        </w:tc>
        <w:tc>
          <w:tcPr>
            <w:tcW w:w="3360" w:type="dxa"/>
            <w:shd w:val="clear" w:color="auto" w:fill="E7E6E6"/>
          </w:tcPr>
          <w:p w14:paraId="5C139519" w14:textId="77777777" w:rsidR="002B145D" w:rsidRPr="0059267D" w:rsidRDefault="00CE3A29" w:rsidP="0059267D">
            <w:pPr>
              <w:jc w:val="center"/>
              <w:rPr>
                <w:rFonts w:asciiTheme="minorHAnsi" w:hAnsiTheme="minorHAnsi" w:cs="Calibri"/>
                <w:sz w:val="22"/>
              </w:rPr>
            </w:pPr>
            <w:r w:rsidRPr="0059267D">
              <w:rPr>
                <w:rFonts w:asciiTheme="minorHAnsi" w:hAnsiTheme="minorHAnsi" w:cs="Calibri"/>
                <w:b/>
                <w:sz w:val="22"/>
              </w:rPr>
              <w:t>Likely pathway</w:t>
            </w:r>
          </w:p>
        </w:tc>
      </w:tr>
      <w:tr w:rsidR="002B145D" w:rsidRPr="009317EE" w14:paraId="3DDA4F1C" w14:textId="77777777">
        <w:tc>
          <w:tcPr>
            <w:tcW w:w="3360" w:type="dxa"/>
          </w:tcPr>
          <w:p w14:paraId="5669D364" w14:textId="77777777" w:rsidR="002B145D" w:rsidRPr="009317EE" w:rsidRDefault="00CE3A29">
            <w:pPr>
              <w:rPr>
                <w:rFonts w:asciiTheme="minorHAnsi" w:hAnsiTheme="minorHAnsi" w:cs="Calibri"/>
                <w:sz w:val="22"/>
              </w:rPr>
            </w:pPr>
            <w:r w:rsidRPr="009317EE">
              <w:rPr>
                <w:rFonts w:asciiTheme="minorHAnsi" w:hAnsiTheme="minorHAnsi" w:cs="Calibri"/>
                <w:sz w:val="22"/>
              </w:rPr>
              <w:t>Reasonable performance feedback delivered respectfully, with no gender connection and no safeguarding indicators</w:t>
            </w:r>
          </w:p>
        </w:tc>
        <w:tc>
          <w:tcPr>
            <w:tcW w:w="3360" w:type="dxa"/>
          </w:tcPr>
          <w:p w14:paraId="34DF87CF" w14:textId="77777777" w:rsidR="002B145D" w:rsidRPr="009317EE" w:rsidRDefault="00CE3A29">
            <w:pPr>
              <w:rPr>
                <w:rFonts w:asciiTheme="minorHAnsi" w:hAnsiTheme="minorHAnsi" w:cs="Calibri"/>
                <w:sz w:val="22"/>
              </w:rPr>
            </w:pPr>
            <w:r w:rsidRPr="009317EE">
              <w:rPr>
                <w:rFonts w:asciiTheme="minorHAnsi" w:hAnsiTheme="minorHAnsi" w:cs="Calibri"/>
                <w:sz w:val="22"/>
              </w:rPr>
              <w:t>Not capable of engaging GBV pathway</w:t>
            </w:r>
          </w:p>
        </w:tc>
        <w:tc>
          <w:tcPr>
            <w:tcW w:w="3360" w:type="dxa"/>
          </w:tcPr>
          <w:p w14:paraId="7E69D9ED" w14:textId="77777777" w:rsidR="002B145D" w:rsidRPr="009317EE" w:rsidRDefault="00CE3A29">
            <w:pPr>
              <w:rPr>
                <w:rFonts w:asciiTheme="minorHAnsi" w:hAnsiTheme="minorHAnsi" w:cs="Calibri"/>
                <w:sz w:val="22"/>
              </w:rPr>
            </w:pPr>
            <w:r w:rsidRPr="009317EE">
              <w:rPr>
                <w:rFonts w:asciiTheme="minorHAnsi" w:hAnsiTheme="minorHAnsi" w:cs="Calibri"/>
                <w:sz w:val="22"/>
              </w:rPr>
              <w:t>Management / HR process if needed</w:t>
            </w:r>
          </w:p>
        </w:tc>
      </w:tr>
      <w:tr w:rsidR="002B145D" w:rsidRPr="009317EE" w14:paraId="7F84D751" w14:textId="77777777">
        <w:tc>
          <w:tcPr>
            <w:tcW w:w="3360" w:type="dxa"/>
          </w:tcPr>
          <w:p w14:paraId="7B19C24E" w14:textId="77777777" w:rsidR="002B145D" w:rsidRPr="009317EE" w:rsidRDefault="00CE3A29">
            <w:pPr>
              <w:rPr>
                <w:rFonts w:asciiTheme="minorHAnsi" w:hAnsiTheme="minorHAnsi" w:cs="Calibri"/>
                <w:sz w:val="22"/>
              </w:rPr>
            </w:pPr>
            <w:r w:rsidRPr="009317EE">
              <w:rPr>
                <w:rFonts w:asciiTheme="minorHAnsi" w:hAnsiTheme="minorHAnsi" w:cs="Calibri"/>
                <w:sz w:val="22"/>
              </w:rPr>
              <w:t>Performance management delivered harshly or inconsistently, causing distress, but no gender connection</w:t>
            </w:r>
          </w:p>
        </w:tc>
        <w:tc>
          <w:tcPr>
            <w:tcW w:w="3360" w:type="dxa"/>
          </w:tcPr>
          <w:p w14:paraId="26402213" w14:textId="77777777" w:rsidR="002B145D" w:rsidRPr="009317EE" w:rsidRDefault="00CE3A29">
            <w:pPr>
              <w:rPr>
                <w:rFonts w:asciiTheme="minorHAnsi" w:hAnsiTheme="minorHAnsi" w:cs="Calibri"/>
                <w:sz w:val="22"/>
              </w:rPr>
            </w:pPr>
            <w:r w:rsidRPr="009317EE">
              <w:rPr>
                <w:rFonts w:asciiTheme="minorHAnsi" w:hAnsiTheme="minorHAnsi" w:cs="Calibri"/>
                <w:sz w:val="22"/>
              </w:rPr>
              <w:t>Not GBV on available information, but may be psychosocial risk or HR issue</w:t>
            </w:r>
          </w:p>
        </w:tc>
        <w:tc>
          <w:tcPr>
            <w:tcW w:w="3360" w:type="dxa"/>
          </w:tcPr>
          <w:p w14:paraId="0567F092" w14:textId="77777777" w:rsidR="002B145D" w:rsidRPr="009317EE" w:rsidRDefault="00CE3A29">
            <w:pPr>
              <w:rPr>
                <w:rFonts w:asciiTheme="minorHAnsi" w:hAnsiTheme="minorHAnsi" w:cs="Calibri"/>
                <w:sz w:val="22"/>
              </w:rPr>
            </w:pP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psychosocial / HR / conduct</w:t>
            </w:r>
          </w:p>
        </w:tc>
      </w:tr>
      <w:tr w:rsidR="002B145D" w:rsidRPr="009317EE" w14:paraId="47436DF9" w14:textId="77777777">
        <w:tc>
          <w:tcPr>
            <w:tcW w:w="3360" w:type="dxa"/>
          </w:tcPr>
          <w:p w14:paraId="26454D2B" w14:textId="77777777" w:rsidR="002B145D" w:rsidRPr="009317EE" w:rsidRDefault="00CE3A29">
            <w:pPr>
              <w:rPr>
                <w:rFonts w:asciiTheme="minorHAnsi" w:hAnsiTheme="minorHAnsi" w:cs="Calibri"/>
                <w:sz w:val="22"/>
              </w:rPr>
            </w:pPr>
            <w:r w:rsidRPr="009317EE">
              <w:rPr>
                <w:rFonts w:asciiTheme="minorHAnsi" w:hAnsiTheme="minorHAnsi" w:cs="Calibri"/>
                <w:sz w:val="22"/>
              </w:rPr>
              <w:t>Repeated public criticism, exclusion or undermining of one gender group</w:t>
            </w:r>
          </w:p>
        </w:tc>
        <w:tc>
          <w:tcPr>
            <w:tcW w:w="3360" w:type="dxa"/>
          </w:tcPr>
          <w:p w14:paraId="4BAE1F25" w14:textId="77777777" w:rsidR="002B145D" w:rsidRPr="009317EE" w:rsidRDefault="00CE3A29">
            <w:pPr>
              <w:rPr>
                <w:rFonts w:asciiTheme="minorHAnsi" w:hAnsiTheme="minorHAnsi" w:cs="Calibri"/>
                <w:sz w:val="22"/>
              </w:rPr>
            </w:pPr>
            <w:r w:rsidRPr="009317EE">
              <w:rPr>
                <w:rFonts w:asciiTheme="minorHAnsi" w:hAnsiTheme="minorHAnsi" w:cs="Calibri"/>
                <w:sz w:val="22"/>
              </w:rPr>
              <w:t>Potentially capable of engaging GBV pathway</w:t>
            </w:r>
          </w:p>
        </w:tc>
        <w:tc>
          <w:tcPr>
            <w:tcW w:w="3360" w:type="dxa"/>
          </w:tcPr>
          <w:p w14:paraId="71EDB4F1"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GBV safeguarding triage, plus </w:t>
            </w:r>
            <w:proofErr w:type="spellStart"/>
            <w:r w:rsidRPr="009317EE">
              <w:rPr>
                <w:rFonts w:asciiTheme="minorHAnsi" w:hAnsiTheme="minorHAnsi" w:cs="Calibri"/>
                <w:sz w:val="22"/>
              </w:rPr>
              <w:t>WHS</w:t>
            </w:r>
            <w:proofErr w:type="spellEnd"/>
            <w:r w:rsidRPr="009317EE">
              <w:rPr>
                <w:rFonts w:asciiTheme="minorHAnsi" w:hAnsiTheme="minorHAnsi" w:cs="Calibri"/>
                <w:sz w:val="22"/>
              </w:rPr>
              <w:t>/HR as required</w:t>
            </w:r>
          </w:p>
        </w:tc>
      </w:tr>
      <w:tr w:rsidR="002B145D" w:rsidRPr="009317EE" w14:paraId="55B426AA" w14:textId="77777777">
        <w:tc>
          <w:tcPr>
            <w:tcW w:w="3360" w:type="dxa"/>
          </w:tcPr>
          <w:p w14:paraId="00DEBD02" w14:textId="77777777" w:rsidR="002B145D" w:rsidRPr="009317EE" w:rsidRDefault="00CE3A29">
            <w:pPr>
              <w:rPr>
                <w:rFonts w:asciiTheme="minorHAnsi" w:hAnsiTheme="minorHAnsi" w:cs="Calibri"/>
                <w:sz w:val="22"/>
              </w:rPr>
            </w:pPr>
            <w:proofErr w:type="spellStart"/>
            <w:r w:rsidRPr="009317EE">
              <w:rPr>
                <w:rFonts w:asciiTheme="minorHAnsi" w:hAnsiTheme="minorHAnsi" w:cs="Calibri"/>
                <w:sz w:val="22"/>
              </w:rPr>
              <w:t>Sexualised</w:t>
            </w:r>
            <w:proofErr w:type="spellEnd"/>
            <w:r w:rsidRPr="009317EE">
              <w:rPr>
                <w:rFonts w:asciiTheme="minorHAnsi" w:hAnsiTheme="minorHAnsi" w:cs="Calibri"/>
                <w:sz w:val="22"/>
              </w:rPr>
              <w:t xml:space="preserve"> comments by a supervisor during performance discussions</w:t>
            </w:r>
          </w:p>
        </w:tc>
        <w:tc>
          <w:tcPr>
            <w:tcW w:w="3360" w:type="dxa"/>
          </w:tcPr>
          <w:p w14:paraId="7C059724" w14:textId="77777777" w:rsidR="002B145D" w:rsidRPr="009317EE" w:rsidRDefault="00CE3A29">
            <w:pPr>
              <w:rPr>
                <w:rFonts w:asciiTheme="minorHAnsi" w:hAnsiTheme="minorHAnsi" w:cs="Calibri"/>
                <w:sz w:val="22"/>
              </w:rPr>
            </w:pPr>
            <w:r w:rsidRPr="009317EE">
              <w:rPr>
                <w:rFonts w:asciiTheme="minorHAnsi" w:hAnsiTheme="minorHAnsi" w:cs="Calibri"/>
                <w:sz w:val="22"/>
              </w:rPr>
              <w:t>Capable of engaging GBV pathway</w:t>
            </w:r>
          </w:p>
        </w:tc>
        <w:tc>
          <w:tcPr>
            <w:tcW w:w="3360" w:type="dxa"/>
          </w:tcPr>
          <w:p w14:paraId="7D8440BA" w14:textId="77777777" w:rsidR="002B145D" w:rsidRPr="009317EE" w:rsidRDefault="00CE3A29">
            <w:pPr>
              <w:rPr>
                <w:rFonts w:asciiTheme="minorHAnsi" w:hAnsiTheme="minorHAnsi" w:cs="Calibri"/>
                <w:sz w:val="22"/>
              </w:rPr>
            </w:pPr>
            <w:r w:rsidRPr="009317EE">
              <w:rPr>
                <w:rFonts w:asciiTheme="minorHAnsi" w:hAnsiTheme="minorHAnsi" w:cs="Calibri"/>
                <w:sz w:val="22"/>
              </w:rPr>
              <w:t>GBV safeguarding triage</w:t>
            </w:r>
          </w:p>
        </w:tc>
      </w:tr>
      <w:tr w:rsidR="002B145D" w:rsidRPr="009317EE" w14:paraId="620A5F3C" w14:textId="77777777">
        <w:tc>
          <w:tcPr>
            <w:tcW w:w="3360" w:type="dxa"/>
          </w:tcPr>
          <w:p w14:paraId="7B3C34C6" w14:textId="77777777" w:rsidR="002B145D" w:rsidRPr="009317EE" w:rsidRDefault="00CE3A29">
            <w:pPr>
              <w:rPr>
                <w:rFonts w:asciiTheme="minorHAnsi" w:hAnsiTheme="minorHAnsi" w:cs="Calibri"/>
                <w:sz w:val="22"/>
              </w:rPr>
            </w:pPr>
            <w:r w:rsidRPr="009317EE">
              <w:rPr>
                <w:rFonts w:asciiTheme="minorHAnsi" w:hAnsiTheme="minorHAnsi" w:cs="Calibri"/>
                <w:sz w:val="22"/>
              </w:rPr>
              <w:t>Threats or intimidation by a manager linked to a prior intimate relationship</w:t>
            </w:r>
          </w:p>
        </w:tc>
        <w:tc>
          <w:tcPr>
            <w:tcW w:w="3360" w:type="dxa"/>
          </w:tcPr>
          <w:p w14:paraId="4FC19B25" w14:textId="77777777" w:rsidR="002B145D" w:rsidRPr="009317EE" w:rsidRDefault="00CE3A29">
            <w:pPr>
              <w:rPr>
                <w:rFonts w:asciiTheme="minorHAnsi" w:hAnsiTheme="minorHAnsi" w:cs="Calibri"/>
                <w:sz w:val="22"/>
              </w:rPr>
            </w:pPr>
            <w:r w:rsidRPr="009317EE">
              <w:rPr>
                <w:rFonts w:asciiTheme="minorHAnsi" w:hAnsiTheme="minorHAnsi" w:cs="Calibri"/>
                <w:sz w:val="22"/>
              </w:rPr>
              <w:t>Capable of engaging GBV pathway</w:t>
            </w:r>
          </w:p>
        </w:tc>
        <w:tc>
          <w:tcPr>
            <w:tcW w:w="3360" w:type="dxa"/>
          </w:tcPr>
          <w:p w14:paraId="5169C729" w14:textId="77777777" w:rsidR="002B145D" w:rsidRPr="009317EE" w:rsidRDefault="00CE3A29">
            <w:pPr>
              <w:rPr>
                <w:rFonts w:asciiTheme="minorHAnsi" w:hAnsiTheme="minorHAnsi" w:cs="Calibri"/>
                <w:sz w:val="22"/>
              </w:rPr>
            </w:pPr>
            <w:r w:rsidRPr="009317EE">
              <w:rPr>
                <w:rFonts w:asciiTheme="minorHAnsi" w:hAnsiTheme="minorHAnsi" w:cs="Calibri"/>
                <w:sz w:val="22"/>
              </w:rPr>
              <w:t>GBV safeguarding triage</w:t>
            </w:r>
          </w:p>
        </w:tc>
      </w:tr>
      <w:tr w:rsidR="002B145D" w:rsidRPr="009317EE" w14:paraId="72369815" w14:textId="77777777">
        <w:tc>
          <w:tcPr>
            <w:tcW w:w="3360" w:type="dxa"/>
          </w:tcPr>
          <w:p w14:paraId="42F47DDA"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Interpersonal conflict with distress but no gendered, </w:t>
            </w:r>
            <w:proofErr w:type="spellStart"/>
            <w:r w:rsidRPr="009317EE">
              <w:rPr>
                <w:rFonts w:asciiTheme="minorHAnsi" w:hAnsiTheme="minorHAnsi" w:cs="Calibri"/>
                <w:sz w:val="22"/>
              </w:rPr>
              <w:t>sexualised</w:t>
            </w:r>
            <w:proofErr w:type="spellEnd"/>
            <w:r w:rsidRPr="009317EE">
              <w:rPr>
                <w:rFonts w:asciiTheme="minorHAnsi" w:hAnsiTheme="minorHAnsi" w:cs="Calibri"/>
                <w:sz w:val="22"/>
              </w:rPr>
              <w:t>, relationship or power-control element</w:t>
            </w:r>
          </w:p>
        </w:tc>
        <w:tc>
          <w:tcPr>
            <w:tcW w:w="3360" w:type="dxa"/>
          </w:tcPr>
          <w:p w14:paraId="388CF41B" w14:textId="77777777" w:rsidR="002B145D" w:rsidRPr="009317EE" w:rsidRDefault="00CE3A29">
            <w:pPr>
              <w:rPr>
                <w:rFonts w:asciiTheme="minorHAnsi" w:hAnsiTheme="minorHAnsi" w:cs="Calibri"/>
                <w:sz w:val="22"/>
              </w:rPr>
            </w:pPr>
            <w:r w:rsidRPr="009317EE">
              <w:rPr>
                <w:rFonts w:asciiTheme="minorHAnsi" w:hAnsiTheme="minorHAnsi" w:cs="Calibri"/>
                <w:sz w:val="22"/>
              </w:rPr>
              <w:t>Not capable of engaging GBV pathway on available information</w:t>
            </w:r>
          </w:p>
        </w:tc>
        <w:tc>
          <w:tcPr>
            <w:tcW w:w="3360" w:type="dxa"/>
          </w:tcPr>
          <w:p w14:paraId="127D7678"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Conflict, HR,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psychosocial or complaints pathway</w:t>
            </w:r>
          </w:p>
        </w:tc>
      </w:tr>
      <w:tr w:rsidR="002B145D" w:rsidRPr="009317EE" w14:paraId="6981CD86" w14:textId="77777777">
        <w:tc>
          <w:tcPr>
            <w:tcW w:w="3360" w:type="dxa"/>
          </w:tcPr>
          <w:p w14:paraId="33754A33" w14:textId="77777777" w:rsidR="002B145D" w:rsidRPr="009317EE" w:rsidRDefault="00CE3A29">
            <w:pPr>
              <w:rPr>
                <w:rFonts w:asciiTheme="minorHAnsi" w:hAnsiTheme="minorHAnsi" w:cs="Calibri"/>
                <w:sz w:val="22"/>
              </w:rPr>
            </w:pPr>
            <w:r w:rsidRPr="009317EE">
              <w:rPr>
                <w:rFonts w:asciiTheme="minorHAnsi" w:hAnsiTheme="minorHAnsi" w:cs="Calibri"/>
                <w:sz w:val="22"/>
              </w:rPr>
              <w:lastRenderedPageBreak/>
              <w:t xml:space="preserve">Bullying allegation involving repeated unreasonable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and psychological harm, but no gender connection</w:t>
            </w:r>
          </w:p>
        </w:tc>
        <w:tc>
          <w:tcPr>
            <w:tcW w:w="3360" w:type="dxa"/>
          </w:tcPr>
          <w:p w14:paraId="35AC6803"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Not GBV on available information, but may require </w:t>
            </w:r>
            <w:proofErr w:type="spellStart"/>
            <w:r w:rsidRPr="009317EE">
              <w:rPr>
                <w:rFonts w:asciiTheme="minorHAnsi" w:hAnsiTheme="minorHAnsi" w:cs="Calibri"/>
                <w:sz w:val="22"/>
              </w:rPr>
              <w:t>WHS</w:t>
            </w:r>
            <w:proofErr w:type="spellEnd"/>
            <w:r w:rsidRPr="009317EE">
              <w:rPr>
                <w:rFonts w:asciiTheme="minorHAnsi" w:hAnsiTheme="minorHAnsi" w:cs="Calibri"/>
                <w:sz w:val="22"/>
              </w:rPr>
              <w:t>/HR response</w:t>
            </w:r>
          </w:p>
        </w:tc>
        <w:tc>
          <w:tcPr>
            <w:tcW w:w="3360" w:type="dxa"/>
          </w:tcPr>
          <w:p w14:paraId="321EFAA1" w14:textId="77777777" w:rsidR="002B145D" w:rsidRPr="009317EE" w:rsidRDefault="00CE3A29">
            <w:pPr>
              <w:rPr>
                <w:rFonts w:asciiTheme="minorHAnsi" w:hAnsiTheme="minorHAnsi" w:cs="Calibri"/>
                <w:sz w:val="22"/>
              </w:rPr>
            </w:pP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psychosocial / bullying / conduct pathway</w:t>
            </w:r>
          </w:p>
        </w:tc>
      </w:tr>
      <w:tr w:rsidR="002B145D" w:rsidRPr="009317EE" w14:paraId="7B0F612D" w14:textId="77777777">
        <w:tc>
          <w:tcPr>
            <w:tcW w:w="3360" w:type="dxa"/>
          </w:tcPr>
          <w:p w14:paraId="33B6821F" w14:textId="77777777" w:rsidR="002B145D" w:rsidRPr="009317EE" w:rsidRDefault="00CE3A29">
            <w:pPr>
              <w:rPr>
                <w:rFonts w:asciiTheme="minorHAnsi" w:hAnsiTheme="minorHAnsi" w:cs="Calibri"/>
                <w:sz w:val="22"/>
              </w:rPr>
            </w:pPr>
            <w:r w:rsidRPr="009317EE">
              <w:rPr>
                <w:rFonts w:asciiTheme="minorHAnsi" w:hAnsiTheme="minorHAnsi" w:cs="Calibri"/>
                <w:sz w:val="22"/>
              </w:rPr>
              <w:t>Unclear report with possible gendered power imbalance and current dependency relationship</w:t>
            </w:r>
          </w:p>
        </w:tc>
        <w:tc>
          <w:tcPr>
            <w:tcW w:w="3360" w:type="dxa"/>
          </w:tcPr>
          <w:p w14:paraId="7BAA9D13" w14:textId="77777777" w:rsidR="002B145D" w:rsidRPr="009317EE" w:rsidRDefault="00CE3A29">
            <w:pPr>
              <w:rPr>
                <w:rFonts w:asciiTheme="minorHAnsi" w:hAnsiTheme="minorHAnsi" w:cs="Calibri"/>
                <w:sz w:val="22"/>
              </w:rPr>
            </w:pPr>
            <w:r w:rsidRPr="009317EE">
              <w:rPr>
                <w:rFonts w:asciiTheme="minorHAnsi" w:hAnsiTheme="minorHAnsi" w:cs="Calibri"/>
                <w:sz w:val="22"/>
              </w:rPr>
              <w:t>Unclear; precautionary safeguarding may be required pending clarification</w:t>
            </w:r>
          </w:p>
        </w:tc>
        <w:tc>
          <w:tcPr>
            <w:tcW w:w="3360" w:type="dxa"/>
          </w:tcPr>
          <w:p w14:paraId="5B58DC7C" w14:textId="77777777" w:rsidR="002B145D" w:rsidRPr="009317EE" w:rsidRDefault="00CE3A29">
            <w:pPr>
              <w:rPr>
                <w:rFonts w:asciiTheme="minorHAnsi" w:hAnsiTheme="minorHAnsi" w:cs="Calibri"/>
                <w:sz w:val="22"/>
              </w:rPr>
            </w:pPr>
            <w:r w:rsidRPr="009317EE">
              <w:rPr>
                <w:rFonts w:asciiTheme="minorHAnsi" w:hAnsiTheme="minorHAnsi" w:cs="Calibri"/>
                <w:sz w:val="22"/>
              </w:rPr>
              <w:t>Step 2 pending clarification; record clarification/procedural fairness steps in Appendix A</w:t>
            </w:r>
          </w:p>
        </w:tc>
      </w:tr>
    </w:tbl>
    <w:p w14:paraId="180FFD47" w14:textId="77777777" w:rsidR="002B145D" w:rsidRDefault="002B145D">
      <w:pPr>
        <w:rPr>
          <w:rFonts w:asciiTheme="minorHAnsi" w:hAnsiTheme="minorHAnsi" w:cs="Calibri"/>
          <w:sz w:val="22"/>
        </w:rPr>
      </w:pPr>
    </w:p>
    <w:p w14:paraId="362B1420" w14:textId="2750158C" w:rsidR="002B145D" w:rsidRPr="0059267D" w:rsidRDefault="00CE3A29" w:rsidP="0059267D">
      <w:pPr>
        <w:rPr>
          <w:rFonts w:asciiTheme="minorHAnsi" w:hAnsiTheme="minorHAnsi"/>
          <w:b/>
          <w:bCs/>
          <w:sz w:val="28"/>
          <w:szCs w:val="28"/>
        </w:rPr>
      </w:pPr>
      <w:r w:rsidRPr="0059267D">
        <w:rPr>
          <w:rFonts w:asciiTheme="minorHAnsi" w:hAnsiTheme="minorHAnsi"/>
          <w:b/>
          <w:bCs/>
          <w:sz w:val="28"/>
          <w:szCs w:val="28"/>
        </w:rPr>
        <w:t xml:space="preserve">Recording the rationale in </w:t>
      </w:r>
      <w:r w:rsidR="00E55F41" w:rsidRPr="00E55F41">
        <w:rPr>
          <w:rFonts w:asciiTheme="minorHAnsi" w:hAnsiTheme="minorHAnsi"/>
          <w:b/>
          <w:bCs/>
          <w:sz w:val="28"/>
          <w:szCs w:val="28"/>
        </w:rPr>
        <w:t>GBV Initial Triage and Pathway Decision Form</w:t>
      </w:r>
    </w:p>
    <w:p w14:paraId="2DAFF262" w14:textId="087E83B7" w:rsidR="002B145D" w:rsidRDefault="00CE3A29">
      <w:pPr>
        <w:rPr>
          <w:rFonts w:asciiTheme="minorHAnsi" w:hAnsiTheme="minorHAnsi" w:cs="Calibri"/>
          <w:sz w:val="22"/>
        </w:rPr>
      </w:pPr>
      <w:r w:rsidRPr="009317EE">
        <w:rPr>
          <w:rFonts w:asciiTheme="minorHAnsi" w:hAnsiTheme="minorHAnsi" w:cs="Calibri"/>
          <w:sz w:val="22"/>
        </w:rPr>
        <w:t xml:space="preserve">The rationale should be short, neutral and limited to the triage threshold. It should record the basis for the classification, any clarification sought, and any support,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controls, interim safety measures or alternative pathway considered.</w:t>
      </w:r>
    </w:p>
    <w:p w14:paraId="788FA977" w14:textId="170CFA58" w:rsidR="00102C27" w:rsidRPr="009317EE" w:rsidRDefault="00102C27">
      <w:pPr>
        <w:rPr>
          <w:rFonts w:asciiTheme="minorHAnsi" w:hAnsiTheme="minorHAnsi" w:cs="Calibri"/>
          <w:sz w:val="22"/>
        </w:rPr>
      </w:pPr>
      <w:r w:rsidRPr="00102C27">
        <w:rPr>
          <w:rFonts w:asciiTheme="minorHAnsi" w:hAnsiTheme="minorHAnsi" w:cs="Calibri"/>
          <w:sz w:val="22"/>
        </w:rPr>
        <w:t>Record only the threshold-level factual basis</w:t>
      </w:r>
      <w:r w:rsidR="00E55F41">
        <w:rPr>
          <w:rFonts w:asciiTheme="minorHAnsi" w:hAnsiTheme="minorHAnsi" w:cs="Calibri"/>
          <w:sz w:val="22"/>
        </w:rPr>
        <w:t>,</w:t>
      </w:r>
      <w:r w:rsidRPr="00102C27">
        <w:rPr>
          <w:rFonts w:asciiTheme="minorHAnsi" w:hAnsiTheme="minorHAnsi" w:cs="Calibri"/>
          <w:sz w:val="22"/>
        </w:rPr>
        <w:t xml:space="preserve"> </w:t>
      </w:r>
      <w:r w:rsidR="00E55F41">
        <w:rPr>
          <w:rFonts w:asciiTheme="minorHAnsi" w:hAnsiTheme="minorHAnsi" w:cs="Calibri"/>
          <w:sz w:val="22"/>
        </w:rPr>
        <w:t>k</w:t>
      </w:r>
      <w:r w:rsidRPr="00102C27">
        <w:rPr>
          <w:rFonts w:asciiTheme="minorHAnsi" w:hAnsiTheme="minorHAnsi" w:cs="Calibri"/>
          <w:sz w:val="22"/>
        </w:rPr>
        <w:t xml:space="preserve">eep detailed disclosure chronology, evidence, follow-up questions and case-management records in restricted </w:t>
      </w:r>
      <w:proofErr w:type="spellStart"/>
      <w:r w:rsidRPr="00102C27">
        <w:rPr>
          <w:rFonts w:asciiTheme="minorHAnsi" w:hAnsiTheme="minorHAnsi" w:cs="Calibri"/>
          <w:sz w:val="22"/>
        </w:rPr>
        <w:t>RiskWare</w:t>
      </w:r>
      <w:proofErr w:type="spellEnd"/>
      <w:r w:rsidRPr="00102C27">
        <w:rPr>
          <w:rFonts w:asciiTheme="minorHAnsi" w:hAnsiTheme="minorHAnsi" w:cs="Calibri"/>
          <w:sz w:val="22"/>
        </w:rPr>
        <w:t xml:space="preserve"> notes.</w:t>
      </w:r>
    </w:p>
    <w:p w14:paraId="51F25C83" w14:textId="77777777" w:rsidR="002B145D" w:rsidRPr="009317EE" w:rsidRDefault="00CE3A29" w:rsidP="0059267D">
      <w:pPr>
        <w:rPr>
          <w:rFonts w:asciiTheme="minorHAnsi" w:hAnsiTheme="minorHAnsi" w:cs="Calibri"/>
          <w:sz w:val="22"/>
        </w:rPr>
      </w:pPr>
      <w:r w:rsidRPr="0059267D">
        <w:rPr>
          <w:rFonts w:asciiTheme="minorHAnsi" w:hAnsiTheme="minorHAnsi"/>
          <w:b/>
          <w:bCs/>
          <w:sz w:val="28"/>
          <w:szCs w:val="28"/>
        </w:rPr>
        <w:t>If capable of engaging the GBV pathway</w:t>
      </w:r>
    </w:p>
    <w:tbl>
      <w:tblPr>
        <w:tblW w:w="0" w:type="auto"/>
        <w:jc w:val="center"/>
        <w:tblLook w:val="04A0" w:firstRow="1" w:lastRow="0" w:firstColumn="1" w:lastColumn="0" w:noHBand="0" w:noVBand="1"/>
      </w:tblPr>
      <w:tblGrid>
        <w:gridCol w:w="10080"/>
      </w:tblGrid>
      <w:tr w:rsidR="002B145D" w:rsidRPr="009317EE" w14:paraId="32900B0E" w14:textId="77777777">
        <w:trPr>
          <w:jc w:val="center"/>
        </w:trPr>
        <w:tc>
          <w:tcPr>
            <w:tcW w:w="10080" w:type="dxa"/>
            <w:shd w:val="clear" w:color="auto" w:fill="F2F2F2"/>
          </w:tcPr>
          <w:p w14:paraId="59D3EF4C" w14:textId="77777777" w:rsidR="002B145D" w:rsidRPr="009317EE" w:rsidRDefault="00CE3A29">
            <w:pPr>
              <w:rPr>
                <w:rFonts w:asciiTheme="minorHAnsi" w:hAnsiTheme="minorHAnsi" w:cs="Calibri"/>
                <w:sz w:val="22"/>
              </w:rPr>
            </w:pPr>
            <w:r w:rsidRPr="009317EE">
              <w:rPr>
                <w:rFonts w:asciiTheme="minorHAnsi" w:hAnsiTheme="minorHAnsi" w:cs="Calibri"/>
                <w:sz w:val="22"/>
              </w:rPr>
              <w:t>The reported conduct is capable of engaging the GBV pathway because, if taken at its highest, it involves alleged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a possible connection to [gender / sexuality / relationship context / gendered power imbalance], and reported or reasonably foreseeable [harm / coercion / control / fear / loss of autonomy].</w:t>
            </w:r>
          </w:p>
        </w:tc>
      </w:tr>
    </w:tbl>
    <w:p w14:paraId="5B04E6C2" w14:textId="77777777" w:rsidR="002B145D" w:rsidRPr="009317EE" w:rsidRDefault="002B145D">
      <w:pPr>
        <w:rPr>
          <w:rFonts w:asciiTheme="minorHAnsi" w:hAnsiTheme="minorHAnsi" w:cs="Calibri"/>
          <w:sz w:val="22"/>
        </w:rPr>
      </w:pPr>
    </w:p>
    <w:p w14:paraId="66159609" w14:textId="77777777" w:rsidR="002B145D" w:rsidRPr="0059267D" w:rsidRDefault="00CE3A29" w:rsidP="0059267D">
      <w:pPr>
        <w:rPr>
          <w:rFonts w:asciiTheme="minorHAnsi" w:hAnsiTheme="minorHAnsi"/>
          <w:b/>
          <w:bCs/>
          <w:sz w:val="28"/>
          <w:szCs w:val="28"/>
        </w:rPr>
      </w:pPr>
      <w:r w:rsidRPr="0059267D">
        <w:rPr>
          <w:rFonts w:asciiTheme="minorHAnsi" w:hAnsiTheme="minorHAnsi"/>
          <w:b/>
          <w:bCs/>
          <w:sz w:val="28"/>
          <w:szCs w:val="28"/>
        </w:rPr>
        <w:t>If not capable of engaging the GBV pathway</w:t>
      </w:r>
    </w:p>
    <w:tbl>
      <w:tblPr>
        <w:tblW w:w="0" w:type="auto"/>
        <w:jc w:val="center"/>
        <w:tblLook w:val="04A0" w:firstRow="1" w:lastRow="0" w:firstColumn="1" w:lastColumn="0" w:noHBand="0" w:noVBand="1"/>
      </w:tblPr>
      <w:tblGrid>
        <w:gridCol w:w="10080"/>
      </w:tblGrid>
      <w:tr w:rsidR="002B145D" w:rsidRPr="009317EE" w14:paraId="11336F05" w14:textId="77777777">
        <w:trPr>
          <w:jc w:val="center"/>
        </w:trPr>
        <w:tc>
          <w:tcPr>
            <w:tcW w:w="10080" w:type="dxa"/>
            <w:shd w:val="clear" w:color="auto" w:fill="F2F2F2"/>
          </w:tcPr>
          <w:p w14:paraId="6529D73F" w14:textId="1B5CD83C" w:rsidR="002B145D" w:rsidRPr="009317EE" w:rsidRDefault="00CE3A29">
            <w:pPr>
              <w:rPr>
                <w:rFonts w:asciiTheme="minorHAnsi" w:hAnsiTheme="minorHAnsi" w:cs="Calibri"/>
                <w:sz w:val="22"/>
              </w:rPr>
            </w:pPr>
            <w:r w:rsidRPr="009317EE">
              <w:rPr>
                <w:rFonts w:asciiTheme="minorHAnsi" w:hAnsiTheme="minorHAnsi" w:cs="Calibri"/>
                <w:sz w:val="22"/>
              </w:rPr>
              <w:t xml:space="preserve">The matter does not appear capable of engaging the GBV pathway on the information available because, while the report raises [management action / conflict / psychosocial risk / bullying / conduct concerns], there is no current information indicating a gendered, </w:t>
            </w:r>
            <w:proofErr w:type="spellStart"/>
            <w:r w:rsidRPr="009317EE">
              <w:rPr>
                <w:rFonts w:asciiTheme="minorHAnsi" w:hAnsiTheme="minorHAnsi" w:cs="Calibri"/>
                <w:sz w:val="22"/>
              </w:rPr>
              <w:t>sexualised</w:t>
            </w:r>
            <w:proofErr w:type="spellEnd"/>
            <w:r w:rsidRPr="009317EE">
              <w:rPr>
                <w:rFonts w:asciiTheme="minorHAnsi" w:hAnsiTheme="minorHAnsi" w:cs="Calibri"/>
                <w:sz w:val="22"/>
              </w:rPr>
              <w:t xml:space="preserve">, relationship-based or gender-power connection. [Clarification was sought / was not required / was not appropriate or safe at this stage]. The matter is referred to [pathway] for action as appropriate, with [support /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controls / interim safety measures / referrals] considered or implemented as recorded in </w:t>
            </w:r>
            <w:r w:rsidR="00E55F41" w:rsidRPr="00E55F41">
              <w:rPr>
                <w:rFonts w:asciiTheme="minorHAnsi" w:hAnsiTheme="minorHAnsi" w:cs="Calibri"/>
                <w:sz w:val="22"/>
              </w:rPr>
              <w:t>GBV Initial Triage and Pathway Decision Form</w:t>
            </w:r>
            <w:r w:rsidR="00E55F41">
              <w:rPr>
                <w:rFonts w:asciiTheme="minorHAnsi" w:hAnsiTheme="minorHAnsi" w:cs="Calibri"/>
                <w:sz w:val="22"/>
              </w:rPr>
              <w:t>.</w:t>
            </w:r>
          </w:p>
        </w:tc>
      </w:tr>
    </w:tbl>
    <w:p w14:paraId="7D36D234" w14:textId="77777777" w:rsidR="002B145D" w:rsidRPr="009317EE" w:rsidRDefault="002B145D">
      <w:pPr>
        <w:rPr>
          <w:rFonts w:asciiTheme="minorHAnsi" w:hAnsiTheme="minorHAnsi" w:cs="Calibri"/>
          <w:sz w:val="22"/>
        </w:rPr>
      </w:pPr>
    </w:p>
    <w:p w14:paraId="3B2B085B" w14:textId="77777777" w:rsidR="002B145D" w:rsidRPr="009E0B72" w:rsidRDefault="00CE3A29" w:rsidP="009E0B72">
      <w:pPr>
        <w:rPr>
          <w:rFonts w:asciiTheme="minorHAnsi" w:hAnsiTheme="minorHAnsi"/>
          <w:b/>
          <w:bCs/>
          <w:sz w:val="28"/>
          <w:szCs w:val="28"/>
        </w:rPr>
      </w:pPr>
      <w:r w:rsidRPr="009E0B72">
        <w:rPr>
          <w:rFonts w:asciiTheme="minorHAnsi" w:hAnsiTheme="minorHAnsi"/>
          <w:b/>
          <w:bCs/>
          <w:sz w:val="28"/>
          <w:szCs w:val="28"/>
        </w:rPr>
        <w:t>If unclear</w:t>
      </w:r>
    </w:p>
    <w:tbl>
      <w:tblPr>
        <w:tblW w:w="0" w:type="auto"/>
        <w:jc w:val="center"/>
        <w:tblLook w:val="04A0" w:firstRow="1" w:lastRow="0" w:firstColumn="1" w:lastColumn="0" w:noHBand="0" w:noVBand="1"/>
      </w:tblPr>
      <w:tblGrid>
        <w:gridCol w:w="10080"/>
      </w:tblGrid>
      <w:tr w:rsidR="002B145D" w:rsidRPr="009317EE" w14:paraId="1363632E" w14:textId="77777777">
        <w:trPr>
          <w:jc w:val="center"/>
        </w:trPr>
        <w:tc>
          <w:tcPr>
            <w:tcW w:w="10080" w:type="dxa"/>
            <w:shd w:val="clear" w:color="auto" w:fill="F2F2F2"/>
          </w:tcPr>
          <w:p w14:paraId="7CEC6173" w14:textId="77777777" w:rsidR="002B145D" w:rsidRPr="009317EE" w:rsidRDefault="00CE3A29">
            <w:pPr>
              <w:rPr>
                <w:rFonts w:asciiTheme="minorHAnsi" w:hAnsiTheme="minorHAnsi" w:cs="Calibri"/>
                <w:sz w:val="22"/>
              </w:rPr>
            </w:pPr>
            <w:r w:rsidRPr="009317EE">
              <w:rPr>
                <w:rFonts w:asciiTheme="minorHAnsi" w:hAnsiTheme="minorHAnsi" w:cs="Calibri"/>
                <w:sz w:val="22"/>
              </w:rPr>
              <w:t>Classification is unclear. The report includes possible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 gender connection / harm indicator], but further clarification is required. Due to [safety / psychosocial / retaliation / confidentiality / dependency / power imbalance / vulnerability / escalation] indicators, the matter will proceed to Step 2 on a precautionary safeguarding basis pending clarification.</w:t>
            </w:r>
          </w:p>
        </w:tc>
      </w:tr>
    </w:tbl>
    <w:p w14:paraId="66E08C7D" w14:textId="77777777" w:rsidR="002B145D" w:rsidRPr="009317EE" w:rsidRDefault="002B145D">
      <w:pPr>
        <w:rPr>
          <w:rFonts w:asciiTheme="minorHAnsi" w:hAnsiTheme="minorHAnsi" w:cs="Calibri"/>
          <w:sz w:val="22"/>
        </w:rPr>
      </w:pPr>
    </w:p>
    <w:p w14:paraId="4F7A7AC4" w14:textId="77777777" w:rsidR="002B145D" w:rsidRPr="009E0B72" w:rsidRDefault="00CE3A29" w:rsidP="009E0B72">
      <w:pPr>
        <w:rPr>
          <w:rFonts w:asciiTheme="minorHAnsi" w:hAnsiTheme="minorHAnsi"/>
          <w:b/>
          <w:bCs/>
          <w:sz w:val="28"/>
          <w:szCs w:val="28"/>
        </w:rPr>
      </w:pPr>
      <w:r w:rsidRPr="009E0B72">
        <w:rPr>
          <w:rFonts w:asciiTheme="minorHAnsi" w:hAnsiTheme="minorHAnsi"/>
          <w:b/>
          <w:bCs/>
          <w:sz w:val="28"/>
          <w:szCs w:val="28"/>
        </w:rPr>
        <w:t>Practical rule</w:t>
      </w:r>
    </w:p>
    <w:tbl>
      <w:tblPr>
        <w:tblStyle w:val="TableGrid"/>
        <w:tblW w:w="0" w:type="auto"/>
        <w:tblLook w:val="04A0" w:firstRow="1" w:lastRow="0" w:firstColumn="1" w:lastColumn="0" w:noHBand="0" w:noVBand="1"/>
      </w:tblPr>
      <w:tblGrid>
        <w:gridCol w:w="5034"/>
        <w:gridCol w:w="5036"/>
      </w:tblGrid>
      <w:tr w:rsidR="002B145D" w:rsidRPr="009317EE" w14:paraId="06A73B9B" w14:textId="77777777" w:rsidTr="009E0B72">
        <w:tc>
          <w:tcPr>
            <w:tcW w:w="5040" w:type="dxa"/>
            <w:shd w:val="clear" w:color="auto" w:fill="E7E6E6"/>
          </w:tcPr>
          <w:p w14:paraId="28C48580" w14:textId="77777777" w:rsidR="002B145D" w:rsidRPr="009E0B72" w:rsidRDefault="00CE3A29" w:rsidP="009E0B72">
            <w:pPr>
              <w:jc w:val="center"/>
              <w:rPr>
                <w:rFonts w:asciiTheme="minorHAnsi" w:hAnsiTheme="minorHAnsi" w:cs="Calibri"/>
                <w:sz w:val="22"/>
              </w:rPr>
            </w:pPr>
            <w:r w:rsidRPr="009E0B72">
              <w:rPr>
                <w:rFonts w:asciiTheme="minorHAnsi" w:hAnsiTheme="minorHAnsi" w:cs="Calibri"/>
                <w:b/>
                <w:sz w:val="22"/>
              </w:rPr>
              <w:lastRenderedPageBreak/>
              <w:t>Use this pathway</w:t>
            </w:r>
          </w:p>
        </w:tc>
        <w:tc>
          <w:tcPr>
            <w:tcW w:w="5040" w:type="dxa"/>
            <w:shd w:val="clear" w:color="auto" w:fill="E7E6E6"/>
          </w:tcPr>
          <w:p w14:paraId="1642403E" w14:textId="77777777" w:rsidR="002B145D" w:rsidRPr="009E0B72" w:rsidRDefault="00CE3A29" w:rsidP="009E0B72">
            <w:pPr>
              <w:jc w:val="center"/>
              <w:rPr>
                <w:rFonts w:asciiTheme="minorHAnsi" w:hAnsiTheme="minorHAnsi" w:cs="Calibri"/>
                <w:sz w:val="22"/>
              </w:rPr>
            </w:pPr>
            <w:r w:rsidRPr="009E0B72">
              <w:rPr>
                <w:rFonts w:asciiTheme="minorHAnsi" w:hAnsiTheme="minorHAnsi" w:cs="Calibri"/>
                <w:b/>
                <w:sz w:val="22"/>
              </w:rPr>
              <w:t>Where the matter may involve</w:t>
            </w:r>
          </w:p>
        </w:tc>
      </w:tr>
      <w:tr w:rsidR="002B145D" w:rsidRPr="009317EE" w14:paraId="50576B1C" w14:textId="77777777">
        <w:tc>
          <w:tcPr>
            <w:tcW w:w="5040" w:type="dxa"/>
          </w:tcPr>
          <w:p w14:paraId="58A65BCF" w14:textId="77777777" w:rsidR="002B145D" w:rsidRPr="009317EE" w:rsidRDefault="00CE3A29">
            <w:pPr>
              <w:rPr>
                <w:rFonts w:asciiTheme="minorHAnsi" w:hAnsiTheme="minorHAnsi" w:cs="Calibri"/>
                <w:sz w:val="22"/>
              </w:rPr>
            </w:pPr>
            <w:r w:rsidRPr="009317EE">
              <w:rPr>
                <w:rFonts w:asciiTheme="minorHAnsi" w:hAnsiTheme="minorHAnsi" w:cs="Calibri"/>
                <w:b/>
                <w:sz w:val="22"/>
              </w:rPr>
              <w:t>GBV pathway</w:t>
            </w:r>
          </w:p>
        </w:tc>
        <w:tc>
          <w:tcPr>
            <w:tcW w:w="5040" w:type="dxa"/>
          </w:tcPr>
          <w:p w14:paraId="011CFE60" w14:textId="77777777" w:rsidR="002B145D" w:rsidRPr="009317EE" w:rsidRDefault="00CE3A29">
            <w:pPr>
              <w:rPr>
                <w:rFonts w:asciiTheme="minorHAnsi" w:hAnsiTheme="minorHAnsi" w:cs="Calibri"/>
                <w:sz w:val="22"/>
              </w:rPr>
            </w:pPr>
            <w:r w:rsidRPr="009317EE">
              <w:rPr>
                <w:rFonts w:asciiTheme="minorHAnsi" w:hAnsiTheme="minorHAnsi" w:cs="Calibri"/>
                <w:sz w:val="22"/>
              </w:rPr>
              <w:t xml:space="preserve">Code-type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 gender connection + harm/control/fear/autonomy impact</w:t>
            </w:r>
          </w:p>
        </w:tc>
      </w:tr>
      <w:tr w:rsidR="002B145D" w:rsidRPr="009317EE" w14:paraId="09A7DD85" w14:textId="77777777">
        <w:tc>
          <w:tcPr>
            <w:tcW w:w="5040" w:type="dxa"/>
          </w:tcPr>
          <w:p w14:paraId="44B500E4" w14:textId="77777777" w:rsidR="002B145D" w:rsidRPr="009317EE" w:rsidRDefault="00CE3A29">
            <w:pPr>
              <w:rPr>
                <w:rFonts w:asciiTheme="minorHAnsi" w:hAnsiTheme="minorHAnsi" w:cs="Calibri"/>
                <w:sz w:val="22"/>
              </w:rPr>
            </w:pPr>
            <w:r w:rsidRPr="009317EE">
              <w:rPr>
                <w:rFonts w:asciiTheme="minorHAnsi" w:hAnsiTheme="minorHAnsi" w:cs="Calibri"/>
                <w:b/>
                <w:sz w:val="22"/>
              </w:rPr>
              <w:t>Another University pathway</w:t>
            </w:r>
          </w:p>
        </w:tc>
        <w:tc>
          <w:tcPr>
            <w:tcW w:w="5040" w:type="dxa"/>
          </w:tcPr>
          <w:p w14:paraId="6EF00976" w14:textId="77777777" w:rsidR="002B145D" w:rsidRPr="009317EE" w:rsidRDefault="00CE3A29">
            <w:pPr>
              <w:rPr>
                <w:rFonts w:asciiTheme="minorHAnsi" w:hAnsiTheme="minorHAnsi" w:cs="Calibri"/>
                <w:sz w:val="22"/>
              </w:rPr>
            </w:pPr>
            <w:r w:rsidRPr="009317EE">
              <w:rPr>
                <w:rFonts w:asciiTheme="minorHAnsi" w:hAnsiTheme="minorHAnsi" w:cs="Calibri"/>
                <w:sz w:val="22"/>
              </w:rPr>
              <w:t>workplace, student, management, conduct or psychosocial concerns without a reasonable gender connection</w:t>
            </w:r>
          </w:p>
        </w:tc>
      </w:tr>
      <w:tr w:rsidR="002B145D" w:rsidRPr="009317EE" w14:paraId="3BCB96B3" w14:textId="77777777">
        <w:tc>
          <w:tcPr>
            <w:tcW w:w="5040" w:type="dxa"/>
          </w:tcPr>
          <w:p w14:paraId="07E9EF4B" w14:textId="77777777" w:rsidR="002B145D" w:rsidRPr="009317EE" w:rsidRDefault="00CE3A29">
            <w:pPr>
              <w:rPr>
                <w:rFonts w:asciiTheme="minorHAnsi" w:hAnsiTheme="minorHAnsi" w:cs="Calibri"/>
                <w:sz w:val="22"/>
              </w:rPr>
            </w:pPr>
            <w:r w:rsidRPr="009317EE">
              <w:rPr>
                <w:rFonts w:asciiTheme="minorHAnsi" w:hAnsiTheme="minorHAnsi" w:cs="Calibri"/>
                <w:b/>
                <w:sz w:val="22"/>
              </w:rPr>
              <w:t>Precautionary safeguarding</w:t>
            </w:r>
          </w:p>
        </w:tc>
        <w:tc>
          <w:tcPr>
            <w:tcW w:w="5040" w:type="dxa"/>
          </w:tcPr>
          <w:p w14:paraId="348DB7A9" w14:textId="77777777" w:rsidR="002B145D" w:rsidRPr="009317EE" w:rsidRDefault="00CE3A29">
            <w:pPr>
              <w:rPr>
                <w:rFonts w:asciiTheme="minorHAnsi" w:hAnsiTheme="minorHAnsi" w:cs="Calibri"/>
                <w:sz w:val="22"/>
              </w:rPr>
            </w:pPr>
            <w:r w:rsidRPr="009317EE">
              <w:rPr>
                <w:rFonts w:asciiTheme="minorHAnsi" w:hAnsiTheme="minorHAnsi" w:cs="Calibri"/>
                <w:sz w:val="22"/>
              </w:rPr>
              <w:t>classification is unclear but safety, psychosocial, retaliation, confidentiality, dependency, power imbalance, vulnerability or escalation risks require immediate control</w:t>
            </w:r>
          </w:p>
        </w:tc>
      </w:tr>
    </w:tbl>
    <w:p w14:paraId="08572592" w14:textId="77777777" w:rsidR="009E0B72" w:rsidRDefault="009E0B72" w:rsidP="009E0B72">
      <w:pPr>
        <w:rPr>
          <w:rFonts w:asciiTheme="minorHAnsi" w:hAnsiTheme="minorHAnsi"/>
          <w:b/>
          <w:bCs/>
          <w:sz w:val="28"/>
          <w:szCs w:val="28"/>
        </w:rPr>
      </w:pPr>
    </w:p>
    <w:p w14:paraId="64E5EA98" w14:textId="77777777" w:rsidR="00102C27" w:rsidRPr="00102C27" w:rsidRDefault="00102C27" w:rsidP="00102C27">
      <w:pPr>
        <w:rPr>
          <w:rFonts w:asciiTheme="minorHAnsi" w:hAnsiTheme="minorHAnsi"/>
          <w:b/>
          <w:bCs/>
          <w:sz w:val="28"/>
          <w:szCs w:val="28"/>
        </w:rPr>
      </w:pPr>
      <w:r w:rsidRPr="00102C27">
        <w:rPr>
          <w:rFonts w:asciiTheme="minorHAnsi" w:hAnsiTheme="minorHAnsi"/>
          <w:b/>
          <w:bCs/>
          <w:sz w:val="28"/>
          <w:szCs w:val="28"/>
        </w:rPr>
        <w:t>Final decision point</w:t>
      </w:r>
    </w:p>
    <w:p w14:paraId="6365C8D2" w14:textId="77777777" w:rsidR="00102C27" w:rsidRPr="00102C27" w:rsidRDefault="00102C27" w:rsidP="00102C27">
      <w:pPr>
        <w:rPr>
          <w:rFonts w:asciiTheme="minorHAnsi" w:hAnsiTheme="minorHAnsi" w:cs="Calibri"/>
          <w:sz w:val="22"/>
        </w:rPr>
      </w:pPr>
      <w:r w:rsidRPr="00102C27">
        <w:rPr>
          <w:rFonts w:asciiTheme="minorHAnsi" w:hAnsiTheme="minorHAnsi" w:cs="Calibri"/>
          <w:sz w:val="22"/>
        </w:rPr>
        <w:t>After applying this guidance, complete the relevant sections of the GBV Initial Triage and Pathway Decision Form:</w:t>
      </w:r>
    </w:p>
    <w:p w14:paraId="52D606F1" w14:textId="77777777" w:rsidR="00102C27" w:rsidRPr="00102C27" w:rsidRDefault="00102C27" w:rsidP="00102C27">
      <w:pPr>
        <w:rPr>
          <w:rFonts w:asciiTheme="minorHAnsi" w:hAnsiTheme="minorHAnsi" w:cs="Calibri"/>
          <w:sz w:val="22"/>
        </w:rPr>
      </w:pPr>
      <w:r w:rsidRPr="00102C27">
        <w:rPr>
          <w:rFonts w:asciiTheme="minorHAnsi" w:hAnsiTheme="minorHAnsi" w:cs="Calibri"/>
          <w:sz w:val="22"/>
        </w:rPr>
        <w:t>• Section 3 — record Yes / No / Unclear against the classification lens.</w:t>
      </w:r>
      <w:r w:rsidRPr="00102C27">
        <w:rPr>
          <w:rFonts w:asciiTheme="minorHAnsi" w:hAnsiTheme="minorHAnsi" w:cs="Calibri"/>
          <w:sz w:val="22"/>
        </w:rPr>
        <w:br/>
        <w:t>• Section 4 — record the preliminary classification, short rationale, clarification and procedural fairness information where required.</w:t>
      </w:r>
      <w:r w:rsidRPr="00102C27">
        <w:rPr>
          <w:rFonts w:asciiTheme="minorHAnsi" w:hAnsiTheme="minorHAnsi" w:cs="Calibri"/>
          <w:sz w:val="22"/>
        </w:rPr>
        <w:br/>
        <w:t>• Section 5 — identify any immediate triage considerations.</w:t>
      </w:r>
      <w:r w:rsidRPr="00102C27">
        <w:rPr>
          <w:rFonts w:asciiTheme="minorHAnsi" w:hAnsiTheme="minorHAnsi" w:cs="Calibri"/>
          <w:sz w:val="22"/>
        </w:rPr>
        <w:br/>
        <w:t>• Section 6 — record the initial pathway decision, any alternative pathway, and support/</w:t>
      </w:r>
      <w:proofErr w:type="spellStart"/>
      <w:r w:rsidRPr="00102C27">
        <w:rPr>
          <w:rFonts w:asciiTheme="minorHAnsi" w:hAnsiTheme="minorHAnsi" w:cs="Calibri"/>
          <w:sz w:val="22"/>
        </w:rPr>
        <w:t>WHS</w:t>
      </w:r>
      <w:proofErr w:type="spellEnd"/>
      <w:r w:rsidRPr="00102C27">
        <w:rPr>
          <w:rFonts w:asciiTheme="minorHAnsi" w:hAnsiTheme="minorHAnsi" w:cs="Calibri"/>
          <w:sz w:val="22"/>
        </w:rPr>
        <w:t xml:space="preserve"> controls considered.</w:t>
      </w:r>
    </w:p>
    <w:p w14:paraId="77D51F8B" w14:textId="77777777" w:rsidR="00102C27" w:rsidRPr="00102C27" w:rsidRDefault="00102C27" w:rsidP="00102C27">
      <w:pPr>
        <w:rPr>
          <w:rFonts w:asciiTheme="minorHAnsi" w:hAnsiTheme="minorHAnsi" w:cs="Calibri"/>
          <w:sz w:val="22"/>
        </w:rPr>
      </w:pPr>
      <w:r w:rsidRPr="00102C27">
        <w:rPr>
          <w:rFonts w:asciiTheme="minorHAnsi" w:hAnsiTheme="minorHAnsi" w:cs="Calibri"/>
          <w:sz w:val="22"/>
        </w:rPr>
        <w:t>The GBV Initial Triage and Pathway Decision Form is the approved intake and triage decision record. This guidance document supports consistent reasoning only. It is not a decision record, must not be completed as a case-specific assessment, and must not replace the information recorded in the GBV Initial Triage and Pathway Decision Form.</w:t>
      </w:r>
    </w:p>
    <w:p w14:paraId="46280916" w14:textId="77777777" w:rsidR="00102C27" w:rsidRPr="00102C27" w:rsidRDefault="00102C27" w:rsidP="00102C27">
      <w:pPr>
        <w:rPr>
          <w:rFonts w:asciiTheme="minorHAnsi" w:hAnsiTheme="minorHAnsi"/>
          <w:b/>
          <w:bCs/>
          <w:sz w:val="28"/>
          <w:szCs w:val="28"/>
        </w:rPr>
      </w:pPr>
      <w:r w:rsidRPr="00102C27">
        <w:rPr>
          <w:rFonts w:asciiTheme="minorHAnsi" w:hAnsiTheme="minorHAnsi"/>
          <w:b/>
          <w:bCs/>
          <w:sz w:val="28"/>
          <w:szCs w:val="28"/>
        </w:rPr>
        <w:t>Source basis</w:t>
      </w:r>
    </w:p>
    <w:p w14:paraId="08F178EC" w14:textId="77777777" w:rsidR="00102C27" w:rsidRPr="00102C27" w:rsidRDefault="00102C27" w:rsidP="00102C27">
      <w:pPr>
        <w:rPr>
          <w:rFonts w:asciiTheme="minorHAnsi" w:hAnsiTheme="minorHAnsi" w:cs="Calibri"/>
          <w:sz w:val="22"/>
        </w:rPr>
      </w:pPr>
      <w:r w:rsidRPr="00102C27">
        <w:rPr>
          <w:rFonts w:asciiTheme="minorHAnsi" w:hAnsiTheme="minorHAnsi" w:cs="Calibri"/>
          <w:sz w:val="22"/>
        </w:rPr>
        <w:t>This guidance has been prepared to support the SCU GBV Operational Prevention and Response approach and triage process. It is based on the National Higher Education Code to Prevent and Respond to Gender-based Violence 2025, WHSMP19 GBV Prevention and Response Procedure, and SCU legal advice regarding the operation of the Code. Initial triage is a pathway decision, not a findings or substantiation process.</w:t>
      </w:r>
    </w:p>
    <w:sectPr w:rsidR="00102C27" w:rsidRPr="00102C27" w:rsidSect="00034616">
      <w:head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B4D7C" w14:textId="77777777" w:rsidR="00E36D0D" w:rsidRDefault="00E36D0D">
      <w:pPr>
        <w:spacing w:after="0" w:line="240" w:lineRule="auto"/>
      </w:pPr>
      <w:r>
        <w:separator/>
      </w:r>
    </w:p>
  </w:endnote>
  <w:endnote w:type="continuationSeparator" w:id="0">
    <w:p w14:paraId="2576EF2E" w14:textId="77777777" w:rsidR="00E36D0D" w:rsidRDefault="00E36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8C1DA" w14:textId="77777777" w:rsidR="00E36D0D" w:rsidRDefault="00E36D0D">
      <w:pPr>
        <w:spacing w:after="0" w:line="240" w:lineRule="auto"/>
      </w:pPr>
      <w:r>
        <w:separator/>
      </w:r>
    </w:p>
  </w:footnote>
  <w:footnote w:type="continuationSeparator" w:id="0">
    <w:p w14:paraId="37EEC7E6" w14:textId="77777777" w:rsidR="00E36D0D" w:rsidRDefault="00E36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C5DF" w14:textId="0B2DFC9E" w:rsidR="00900AE8" w:rsidRPr="00900AE8" w:rsidRDefault="00900AE8" w:rsidP="00900AE8">
    <w:pPr>
      <w:pStyle w:val="Header"/>
      <w:jc w:val="center"/>
    </w:pPr>
    <w:r>
      <w:t>WHMSP19</w:t>
    </w:r>
    <w:r w:rsidR="00B76D25">
      <w:t>- GUI – 0</w:t>
    </w:r>
    <w:r w:rsidR="00BB3712">
      <w:t>2</w:t>
    </w:r>
    <w:r w:rsidR="00B76D25">
      <w:t xml:space="preserve"> -</w:t>
    </w:r>
    <w:r w:rsidRPr="00900AE8">
      <w:t xml:space="preserve"> Section 3 - Definition and Classification Guidance</w:t>
    </w:r>
  </w:p>
  <w:p w14:paraId="10E6BFD2" w14:textId="77777777" w:rsidR="002B145D" w:rsidRDefault="00E01423" w:rsidP="00900AE8">
    <w:pPr>
      <w:pStyle w:val="Header"/>
      <w:jc w:val="center"/>
    </w:pPr>
    <w:r>
      <w:rPr>
        <w:noProof/>
      </w:rPr>
      <w:drawing>
        <wp:anchor distT="0" distB="0" distL="114300" distR="114300" simplePos="0" relativeHeight="251658240" behindDoc="0" locked="0" layoutInCell="1" allowOverlap="1" wp14:anchorId="422CC8A9" wp14:editId="4B1AC7F9">
          <wp:simplePos x="0" y="0"/>
          <wp:positionH relativeFrom="column">
            <wp:posOffset>-523875</wp:posOffset>
          </wp:positionH>
          <wp:positionV relativeFrom="paragraph">
            <wp:posOffset>-381000</wp:posOffset>
          </wp:positionV>
          <wp:extent cx="1390650" cy="73337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73337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7522DAA"/>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awsDAzMbK0MLQwtjBW0lEKTi0uzszPAykwqQUAxCepHSwAAAA="/>
  </w:docVars>
  <w:rsids>
    <w:rsidRoot w:val="00B47730"/>
    <w:rsid w:val="00034616"/>
    <w:rsid w:val="00052650"/>
    <w:rsid w:val="0006063C"/>
    <w:rsid w:val="0007740A"/>
    <w:rsid w:val="00102C27"/>
    <w:rsid w:val="0015074B"/>
    <w:rsid w:val="001537F1"/>
    <w:rsid w:val="00176944"/>
    <w:rsid w:val="0029639D"/>
    <w:rsid w:val="002B145D"/>
    <w:rsid w:val="0030491D"/>
    <w:rsid w:val="00326F90"/>
    <w:rsid w:val="0035035A"/>
    <w:rsid w:val="0059267D"/>
    <w:rsid w:val="00755C03"/>
    <w:rsid w:val="00900AE8"/>
    <w:rsid w:val="00931078"/>
    <w:rsid w:val="009317EE"/>
    <w:rsid w:val="009321FC"/>
    <w:rsid w:val="00973242"/>
    <w:rsid w:val="009E0B72"/>
    <w:rsid w:val="00A21DBC"/>
    <w:rsid w:val="00A66093"/>
    <w:rsid w:val="00AA1D8D"/>
    <w:rsid w:val="00AA2480"/>
    <w:rsid w:val="00AE03DF"/>
    <w:rsid w:val="00B47730"/>
    <w:rsid w:val="00B76D25"/>
    <w:rsid w:val="00BB3712"/>
    <w:rsid w:val="00C2080D"/>
    <w:rsid w:val="00CB0664"/>
    <w:rsid w:val="00CE3A29"/>
    <w:rsid w:val="00DA1615"/>
    <w:rsid w:val="00E01423"/>
    <w:rsid w:val="00E335A1"/>
    <w:rsid w:val="00E36D0D"/>
    <w:rsid w:val="00E55F41"/>
    <w:rsid w:val="00F05E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680E57"/>
  <w14:defaultImageDpi w14:val="300"/>
  <w15:docId w15:val="{FCF8829F-18F3-4A1B-BB15-CBC439C5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02C27"/>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6888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2859</Words>
  <Characters>16301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Shaun Brown</cp:lastModifiedBy>
  <cp:revision>9</cp:revision>
  <dcterms:created xsi:type="dcterms:W3CDTF">2026-06-02T00:17:00Z</dcterms:created>
  <dcterms:modified xsi:type="dcterms:W3CDTF">2026-09-10T01:47:00Z</dcterms:modified>
  <cp:category/>
</cp:coreProperties>
</file>