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4FB2B" w14:textId="1AFEA751" w:rsidR="00F1570C" w:rsidRPr="00F1570C" w:rsidRDefault="00F1570C" w:rsidP="00D04909">
      <w:pPr>
        <w:keepNext/>
        <w:keepLines/>
        <w:spacing w:before="240" w:after="0"/>
        <w:outlineLvl w:val="0"/>
      </w:pPr>
      <w:bookmarkStart w:id="0" w:name="_Toc221880053"/>
      <w:r w:rsidRPr="00F1570C">
        <w:rPr>
          <w:rFonts w:asciiTheme="majorHAnsi" w:eastAsiaTheme="majorEastAsia" w:hAnsiTheme="majorHAnsi" w:cstheme="majorBidi"/>
          <w:color w:val="2F5496" w:themeColor="accent1" w:themeShade="BF"/>
          <w:sz w:val="32"/>
          <w:szCs w:val="32"/>
        </w:rPr>
        <w:t>Investigation</w:t>
      </w:r>
      <w:bookmarkEnd w:id="0"/>
      <w:r>
        <w:rPr>
          <w:rFonts w:asciiTheme="majorHAnsi" w:eastAsiaTheme="majorEastAsia" w:hAnsiTheme="majorHAnsi" w:cstheme="majorBidi"/>
          <w:color w:val="2F5496" w:themeColor="accent1" w:themeShade="BF"/>
          <w:sz w:val="32"/>
          <w:szCs w:val="32"/>
        </w:rPr>
        <w:t xml:space="preserve"> Protocols</w:t>
      </w:r>
    </w:p>
    <w:p w14:paraId="0DF46808" w14:textId="77777777" w:rsidR="00F1570C" w:rsidRPr="00F1570C" w:rsidRDefault="00F1570C" w:rsidP="00F1570C">
      <w:pPr>
        <w:rPr>
          <w:b/>
          <w:bCs/>
          <w:sz w:val="32"/>
          <w:szCs w:val="32"/>
        </w:rPr>
      </w:pPr>
      <w:r w:rsidRPr="00F1570C">
        <w:rPr>
          <w:b/>
          <w:bCs/>
          <w:sz w:val="32"/>
          <w:szCs w:val="32"/>
        </w:rPr>
        <w:t>GBV Investigation Tool – Practical Structure</w:t>
      </w:r>
    </w:p>
    <w:p w14:paraId="7447B25A" w14:textId="77777777" w:rsidR="00F1570C" w:rsidRDefault="00F1570C" w:rsidP="00F1570C">
      <w:r w:rsidRPr="00F1570C">
        <w:t>The following outlines the practical structure of a GBV investigation. Th</w:t>
      </w:r>
      <w:r>
        <w:t>e investigation</w:t>
      </w:r>
      <w:r w:rsidRPr="00F1570C">
        <w:t xml:space="preserve"> tool applies WHS-informed analysis adapted for trauma-informed, safeguarding-focused investigation and should be used once classification and safety triage have been completed. </w:t>
      </w:r>
    </w:p>
    <w:p w14:paraId="7D92106A" w14:textId="77777777" w:rsidR="00F1570C" w:rsidRPr="00F1570C" w:rsidRDefault="00F1570C" w:rsidP="00F1570C">
      <w:r>
        <w:t>The investigation occurs after completion of the relevant earlier framework steps and focuses on organisational conditions, control effectiveness, and prevention learning. It does not replace or delay immediate safety decision-making, support planning, make-safe controls, safeguarding actions or urgent escalation.</w:t>
      </w:r>
    </w:p>
    <w:p w14:paraId="678CBE19" w14:textId="215CE702" w:rsidR="00FC6CF8" w:rsidRDefault="00D04909">
      <w:r>
        <w:t xml:space="preserve">Investigation must not delay any immediate controls required under, </w:t>
      </w:r>
      <w:r w:rsidR="0076683C">
        <w:t>make safe</w:t>
      </w:r>
      <w:r w:rsidR="00834102">
        <w:t xml:space="preserve"> ,support plans </w:t>
      </w:r>
      <w:proofErr w:type="spellStart"/>
      <w:r w:rsidR="00834102">
        <w:t>ect</w:t>
      </w:r>
      <w:proofErr w:type="spellEnd"/>
      <w:r w:rsidR="00834102">
        <w:t>.</w:t>
      </w:r>
      <w:r>
        <w:t xml:space="preserve"> Immediate support, safety and safeguarding actions should continue while the investigation is scoped and conducted.</w:t>
      </w:r>
    </w:p>
    <w:p w14:paraId="1D65AE35" w14:textId="4BC76E3D" w:rsidR="00FC6CF8" w:rsidRDefault="00D04909">
      <w:r>
        <w:t xml:space="preserve">Where new information emerges during an investigation that may affect classification, pathway, immediate risk, support needs or safeguarding controls, the investigator must escalate the information to the Case Owner / Safeguarding Lead. Where required, the matter must be referred back to the GBV Incident Response Team for re-triage under </w:t>
      </w:r>
      <w:bookmarkStart w:id="1" w:name="_Hlk233960362"/>
      <w:r w:rsidR="0076683C" w:rsidRPr="0076683C">
        <w:t>GBV Initial Triage and Pathway Decision F</w:t>
      </w:r>
      <w:r w:rsidR="0076683C">
        <w:t>orm.</w:t>
      </w:r>
    </w:p>
    <w:bookmarkEnd w:id="1"/>
    <w:p w14:paraId="60D8FB06" w14:textId="77777777" w:rsidR="00F1570C" w:rsidRPr="00F1570C" w:rsidRDefault="00F1570C" w:rsidP="00F1570C">
      <w:pPr>
        <w:rPr>
          <w:b/>
          <w:bCs/>
        </w:rPr>
      </w:pPr>
      <w:r w:rsidRPr="00F1570C">
        <w:rPr>
          <w:b/>
          <w:bCs/>
        </w:rPr>
        <w:t>Investigator Independence</w:t>
      </w:r>
    </w:p>
    <w:p w14:paraId="7F22F1DD" w14:textId="77777777" w:rsidR="00F1570C" w:rsidRPr="00F1570C" w:rsidRDefault="00F1570C" w:rsidP="00F1570C">
      <w:r w:rsidRPr="00F1570C">
        <w:t>Where independence or impartiality may reasonably be questioned, the University will consider appointing an external investigator.</w:t>
      </w:r>
    </w:p>
    <w:p w14:paraId="7AA59F92" w14:textId="77777777" w:rsidR="00FC6CF8" w:rsidRDefault="00D04909">
      <w:r>
        <w:t>The investigator must be separate from the Support Coordinator — Discloser / Person Supported, Respondent Support Contact and final decision-maker wherever practicable. The investigator must not provide support to both parties in the same matter.</w:t>
      </w:r>
    </w:p>
    <w:p w14:paraId="3EE7A0A5" w14:textId="77777777" w:rsidR="00F1570C" w:rsidRPr="00F1570C" w:rsidRDefault="00F1570C" w:rsidP="00F1570C">
      <w:r w:rsidRPr="00F1570C">
        <w:t>External investigators may be used where:</w:t>
      </w:r>
    </w:p>
    <w:p w14:paraId="570AB67A" w14:textId="77777777" w:rsidR="00F1570C" w:rsidRPr="00F1570C" w:rsidRDefault="00F1570C" w:rsidP="00F1570C">
      <w:pPr>
        <w:numPr>
          <w:ilvl w:val="0"/>
          <w:numId w:val="11"/>
        </w:numPr>
      </w:pPr>
      <w:r w:rsidRPr="00F1570C">
        <w:t>allegations involve senior staff or executive leadership</w:t>
      </w:r>
    </w:p>
    <w:p w14:paraId="51074CAC" w14:textId="77777777" w:rsidR="00F1570C" w:rsidRPr="00F1570C" w:rsidRDefault="00F1570C" w:rsidP="00F1570C">
      <w:pPr>
        <w:numPr>
          <w:ilvl w:val="0"/>
          <w:numId w:val="11"/>
        </w:numPr>
      </w:pPr>
      <w:r w:rsidRPr="00F1570C">
        <w:t>there is an actual or perceived conflict of interest</w:t>
      </w:r>
    </w:p>
    <w:p w14:paraId="201540F9" w14:textId="77777777" w:rsidR="00F1570C" w:rsidRDefault="00F1570C" w:rsidP="00F1570C">
      <w:pPr>
        <w:numPr>
          <w:ilvl w:val="0"/>
          <w:numId w:val="11"/>
        </w:numPr>
      </w:pPr>
      <w:r w:rsidRPr="00F1570C">
        <w:t>the matter involves complex power dynamics or reputational risk</w:t>
      </w:r>
    </w:p>
    <w:p w14:paraId="1EF7B641" w14:textId="77777777" w:rsidR="00EB25E2" w:rsidRDefault="00EB25E2" w:rsidP="00EB25E2">
      <w:pPr>
        <w:numPr>
          <w:ilvl w:val="0"/>
          <w:numId w:val="11"/>
        </w:numPr>
      </w:pPr>
      <w:r>
        <w:t>workload of investigation team</w:t>
      </w:r>
    </w:p>
    <w:p w14:paraId="27C3E624" w14:textId="2440474D" w:rsidR="007614F5" w:rsidRPr="00F1570C" w:rsidRDefault="00EB25E2" w:rsidP="00EB25E2">
      <w:pPr>
        <w:numPr>
          <w:ilvl w:val="0"/>
          <w:numId w:val="11"/>
        </w:numPr>
      </w:pPr>
      <w:r>
        <w:t>or at the university’s discretion</w:t>
      </w:r>
    </w:p>
    <w:p w14:paraId="6A6A45CE" w14:textId="297C7CF8" w:rsidR="00FC6CF8" w:rsidRDefault="00D04909">
      <w:r>
        <w:t>the matter involves regulatory, privacy, police, reportable conduct, adverse action or other legal complexity</w:t>
      </w:r>
      <w:r w:rsidR="00331039">
        <w:t>.</w:t>
      </w:r>
    </w:p>
    <w:p w14:paraId="0A04D644" w14:textId="77777777" w:rsidR="00F1570C" w:rsidRPr="00F1570C" w:rsidRDefault="00F1570C" w:rsidP="00F1570C">
      <w:pPr>
        <w:numPr>
          <w:ilvl w:val="0"/>
          <w:numId w:val="11"/>
        </w:numPr>
      </w:pPr>
      <w:r w:rsidRPr="00F1570C">
        <w:t>specialised expertise is required.</w:t>
      </w:r>
    </w:p>
    <w:p w14:paraId="769CADCA" w14:textId="77777777" w:rsidR="00FC6CF8" w:rsidRDefault="00D04909">
      <w:r>
        <w:t>Legal / Governance advice should be sought where there is uncertainty about investigation scope, external reporting, privacy, procedural fairness, police involvement, regulatory notification or reportable conduct issues.</w:t>
      </w:r>
    </w:p>
    <w:p w14:paraId="73C41C56" w14:textId="77777777" w:rsidR="00F1570C" w:rsidRPr="00F1570C" w:rsidRDefault="00F1570C" w:rsidP="00F1570C">
      <w:r w:rsidRPr="00F1570C">
        <w:lastRenderedPageBreak/>
        <w:t>This approach supports procedural fairness, trauma-informed practice, and alignment with regulatory expectations for impartial investigations.</w:t>
      </w:r>
    </w:p>
    <w:p w14:paraId="457FF61E" w14:textId="77777777" w:rsidR="00F1570C" w:rsidRPr="00F1570C" w:rsidRDefault="00F1570C" w:rsidP="00F1570C"/>
    <w:p w14:paraId="5911C5DF" w14:textId="77777777" w:rsidR="00F1570C" w:rsidRPr="00F1570C" w:rsidRDefault="00F1570C" w:rsidP="00F1570C">
      <w:pPr>
        <w:ind w:left="284"/>
        <w:rPr>
          <w:b/>
          <w:bCs/>
        </w:rPr>
      </w:pPr>
      <w:r w:rsidRPr="00F1570C">
        <w:rPr>
          <w:b/>
          <w:bCs/>
        </w:rPr>
        <w:t>Section 1: Incident framing (what actually happened)</w:t>
      </w:r>
    </w:p>
    <w:p w14:paraId="19E0E836" w14:textId="77777777" w:rsidR="00F1570C" w:rsidRPr="00F1570C" w:rsidRDefault="00F1570C" w:rsidP="00F1570C">
      <w:pPr>
        <w:ind w:left="284"/>
      </w:pPr>
      <w:r w:rsidRPr="00F1570C">
        <w:t>This section establishes the factual context of the behaviour. It is an investigative step, separate from the earlier classification step.</w:t>
      </w:r>
    </w:p>
    <w:p w14:paraId="64391E2E" w14:textId="77777777" w:rsidR="00F1570C" w:rsidRPr="00F1570C" w:rsidRDefault="00F1570C" w:rsidP="00F1570C">
      <w:pPr>
        <w:ind w:left="284"/>
      </w:pPr>
      <w:r w:rsidRPr="00F1570C">
        <w:rPr>
          <w:b/>
          <w:bCs/>
        </w:rPr>
        <w:t>Questions:</w:t>
      </w:r>
    </w:p>
    <w:p w14:paraId="7E47BE3F" w14:textId="68E8F127" w:rsidR="00FC6CF8" w:rsidRDefault="00D04909" w:rsidP="00980CC6">
      <w:r>
        <w:t xml:space="preserve">Has the investigation scope been confirmed against the </w:t>
      </w:r>
      <w:r w:rsidR="00980CC6" w:rsidRPr="0076683C">
        <w:t>GBV Initial Triage and Pathway Decision F</w:t>
      </w:r>
      <w:r w:rsidR="00980CC6">
        <w:t xml:space="preserve">orm  </w:t>
      </w:r>
      <w:r>
        <w:t>classification and pathway decision?</w:t>
      </w:r>
    </w:p>
    <w:p w14:paraId="215A7A8A" w14:textId="77777777" w:rsidR="00F1570C" w:rsidRPr="00F1570C" w:rsidRDefault="00F1570C" w:rsidP="00F1570C">
      <w:pPr>
        <w:numPr>
          <w:ilvl w:val="0"/>
          <w:numId w:val="1"/>
        </w:numPr>
      </w:pPr>
      <w:r w:rsidRPr="00F1570C">
        <w:t>What behaviours were reported? (chronological, factual, neutral language)</w:t>
      </w:r>
    </w:p>
    <w:p w14:paraId="271BB928" w14:textId="77777777" w:rsidR="00F1570C" w:rsidRPr="00F1570C" w:rsidRDefault="00F1570C" w:rsidP="00F1570C">
      <w:pPr>
        <w:numPr>
          <w:ilvl w:val="0"/>
          <w:numId w:val="1"/>
        </w:numPr>
      </w:pPr>
      <w:r w:rsidRPr="00F1570C">
        <w:t>Over what period did the behaviours occur?</w:t>
      </w:r>
    </w:p>
    <w:p w14:paraId="6D9AEFC5" w14:textId="77777777" w:rsidR="00F1570C" w:rsidRPr="00F1570C" w:rsidRDefault="00F1570C" w:rsidP="00F1570C">
      <w:pPr>
        <w:numPr>
          <w:ilvl w:val="0"/>
          <w:numId w:val="1"/>
        </w:numPr>
      </w:pPr>
      <w:r w:rsidRPr="00F1570C">
        <w:t>Were there prior interactions or patterns?</w:t>
      </w:r>
    </w:p>
    <w:p w14:paraId="6BED5A44" w14:textId="77777777" w:rsidR="00F1570C" w:rsidRPr="00F1570C" w:rsidRDefault="00F1570C" w:rsidP="00F1570C">
      <w:pPr>
        <w:numPr>
          <w:ilvl w:val="0"/>
          <w:numId w:val="1"/>
        </w:numPr>
      </w:pPr>
      <w:r w:rsidRPr="00F1570C">
        <w:t>Where did the interactions occur (physical, digital, work-related context)?</w:t>
      </w:r>
    </w:p>
    <w:p w14:paraId="0BACCCBB" w14:textId="77777777" w:rsidR="00F1570C" w:rsidRPr="00F1570C" w:rsidRDefault="00F1570C" w:rsidP="00F1570C">
      <w:pPr>
        <w:numPr>
          <w:ilvl w:val="0"/>
          <w:numId w:val="1"/>
        </w:numPr>
      </w:pPr>
      <w:r w:rsidRPr="00F1570C">
        <w:t>Who else was present or aware?</w:t>
      </w:r>
    </w:p>
    <w:p w14:paraId="221DF0E7" w14:textId="77777777" w:rsidR="00F1570C" w:rsidRPr="00F1570C" w:rsidRDefault="00F1570C" w:rsidP="00F1570C">
      <w:pPr>
        <w:ind w:left="1560"/>
      </w:pPr>
    </w:p>
    <w:p w14:paraId="71AF947F" w14:textId="77777777" w:rsidR="00F1570C" w:rsidRPr="00F1570C" w:rsidRDefault="00F1570C" w:rsidP="00F1570C">
      <w:pPr>
        <w:ind w:left="284"/>
        <w:rPr>
          <w:b/>
          <w:bCs/>
        </w:rPr>
      </w:pPr>
      <w:r w:rsidRPr="00F1570C">
        <w:rPr>
          <w:b/>
          <w:bCs/>
        </w:rPr>
        <w:t>Section 2: Harm and risk profile (impact, not blame)</w:t>
      </w:r>
    </w:p>
    <w:p w14:paraId="77E0D062" w14:textId="77777777" w:rsidR="00F1570C" w:rsidRPr="00F1570C" w:rsidRDefault="00F1570C" w:rsidP="00F1570C">
      <w:pPr>
        <w:ind w:left="284"/>
      </w:pPr>
      <w:r w:rsidRPr="00F1570C">
        <w:t>This replaces "injury mechanism" in WHS tools.</w:t>
      </w:r>
    </w:p>
    <w:p w14:paraId="06A7305F" w14:textId="77777777" w:rsidR="00F1570C" w:rsidRPr="00F1570C" w:rsidRDefault="00F1570C" w:rsidP="00F1570C">
      <w:pPr>
        <w:ind w:left="284"/>
      </w:pPr>
      <w:r w:rsidRPr="00F1570C">
        <w:rPr>
          <w:b/>
          <w:bCs/>
        </w:rPr>
        <w:t>Questions:</w:t>
      </w:r>
    </w:p>
    <w:p w14:paraId="56F76E39" w14:textId="77777777" w:rsidR="00F1570C" w:rsidRPr="00F1570C" w:rsidRDefault="00F1570C" w:rsidP="00F1570C">
      <w:pPr>
        <w:numPr>
          <w:ilvl w:val="0"/>
          <w:numId w:val="2"/>
        </w:numPr>
      </w:pPr>
      <w:r w:rsidRPr="00F1570C">
        <w:t>What impacts were experienced (fear, avoidance, distress, loss of participation)?</w:t>
      </w:r>
    </w:p>
    <w:p w14:paraId="6D4C6602" w14:textId="77777777" w:rsidR="00F1570C" w:rsidRPr="00F1570C" w:rsidRDefault="00F1570C" w:rsidP="00F1570C">
      <w:pPr>
        <w:numPr>
          <w:ilvl w:val="0"/>
          <w:numId w:val="2"/>
        </w:numPr>
      </w:pPr>
      <w:r w:rsidRPr="00F1570C">
        <w:t>Did the behaviour affect the person's ability to work, study, or feel safe?</w:t>
      </w:r>
    </w:p>
    <w:p w14:paraId="26F24ABF" w14:textId="77777777" w:rsidR="00F1570C" w:rsidRPr="00F1570C" w:rsidRDefault="00F1570C" w:rsidP="00F1570C">
      <w:pPr>
        <w:numPr>
          <w:ilvl w:val="0"/>
          <w:numId w:val="2"/>
        </w:numPr>
      </w:pPr>
      <w:r w:rsidRPr="00F1570C">
        <w:t>Is there evidence of escalation, persistence, or pattern?</w:t>
      </w:r>
    </w:p>
    <w:p w14:paraId="382A4A25" w14:textId="77777777" w:rsidR="00F1570C" w:rsidRPr="00F1570C" w:rsidRDefault="00F1570C" w:rsidP="00F1570C">
      <w:pPr>
        <w:numPr>
          <w:ilvl w:val="0"/>
          <w:numId w:val="2"/>
        </w:numPr>
        <w:rPr>
          <w:rFonts w:ascii="Segoe UI Emoji" w:hAnsi="Segoe UI Emoji" w:cs="Segoe UI Emoji"/>
        </w:rPr>
      </w:pPr>
      <w:r w:rsidRPr="00F1570C">
        <w:t>Is there ongoing exposure or dependency?</w:t>
      </w:r>
    </w:p>
    <w:p w14:paraId="496B2F3A" w14:textId="77777777" w:rsidR="00FC6CF8" w:rsidRDefault="00D04909">
      <w:r>
        <w:t>Are the current Make-Safe Plan, Support Plan and Safeguarding Action Plan still suitable and effective?</w:t>
      </w:r>
    </w:p>
    <w:p w14:paraId="2FFFB058" w14:textId="77777777" w:rsidR="00FC6CF8" w:rsidRDefault="00D04909">
      <w:r>
        <w:t>Has any new information emerged that may require escalation, re-triage or additional controls?</w:t>
      </w:r>
    </w:p>
    <w:p w14:paraId="7F1CE580" w14:textId="77777777" w:rsidR="00F1570C" w:rsidRPr="00F1570C" w:rsidRDefault="00F1570C" w:rsidP="00F1570C">
      <w:r w:rsidRPr="00F1570C">
        <w:rPr>
          <w:rFonts w:ascii="Segoe UI Emoji" w:hAnsi="Segoe UI Emoji" w:cs="Segoe UI Emoji"/>
        </w:rPr>
        <w:t xml:space="preserve">     </w:t>
      </w:r>
      <w:r w:rsidRPr="00F1570C">
        <w:t>This establishes risk exposure and urgency, not culpability.</w:t>
      </w:r>
    </w:p>
    <w:p w14:paraId="129D4EEC" w14:textId="77777777" w:rsidR="00F1570C" w:rsidRPr="00F1570C" w:rsidRDefault="00F1570C" w:rsidP="00F1570C">
      <w:pPr>
        <w:ind w:left="284"/>
        <w:rPr>
          <w:b/>
          <w:bCs/>
        </w:rPr>
      </w:pPr>
      <w:r w:rsidRPr="00F1570C">
        <w:rPr>
          <w:b/>
          <w:bCs/>
        </w:rPr>
        <w:t xml:space="preserve">Section 3: Contributing factors </w:t>
      </w:r>
    </w:p>
    <w:p w14:paraId="37E96B1B" w14:textId="77777777" w:rsidR="00F1570C" w:rsidRPr="00F1570C" w:rsidRDefault="00F1570C" w:rsidP="00F1570C">
      <w:pPr>
        <w:ind w:left="284"/>
        <w:rPr>
          <w:b/>
          <w:bCs/>
        </w:rPr>
      </w:pPr>
      <w:r w:rsidRPr="00F1570C">
        <w:rPr>
          <w:b/>
          <w:bCs/>
        </w:rPr>
        <w:t>This applies WHS contributing-factor principles adapted specifically for GBV and psychosocial risk contexts.</w:t>
      </w:r>
    </w:p>
    <w:p w14:paraId="10BECD91" w14:textId="77777777" w:rsidR="00F1570C" w:rsidRPr="00F1570C" w:rsidRDefault="00F1570C" w:rsidP="00F1570C">
      <w:pPr>
        <w:ind w:left="284"/>
      </w:pPr>
      <w:r w:rsidRPr="00F1570C">
        <w:t>Instead of:</w:t>
      </w:r>
    </w:p>
    <w:p w14:paraId="02E0F697" w14:textId="77777777" w:rsidR="00F1570C" w:rsidRPr="00F1570C" w:rsidRDefault="00F1570C" w:rsidP="00F1570C">
      <w:pPr>
        <w:numPr>
          <w:ilvl w:val="0"/>
          <w:numId w:val="3"/>
        </w:numPr>
      </w:pPr>
      <w:r w:rsidRPr="00F1570C">
        <w:t>unsafe acts</w:t>
      </w:r>
    </w:p>
    <w:p w14:paraId="0B60BA34" w14:textId="77777777" w:rsidR="00F1570C" w:rsidRPr="00F1570C" w:rsidRDefault="00F1570C" w:rsidP="00F1570C">
      <w:pPr>
        <w:numPr>
          <w:ilvl w:val="0"/>
          <w:numId w:val="3"/>
        </w:numPr>
      </w:pPr>
      <w:r w:rsidRPr="00F1570C">
        <w:t>equipment failure</w:t>
      </w:r>
    </w:p>
    <w:p w14:paraId="18D40AFA" w14:textId="77777777" w:rsidR="00F1570C" w:rsidRPr="00F1570C" w:rsidRDefault="00F1570C" w:rsidP="00F1570C">
      <w:pPr>
        <w:numPr>
          <w:ilvl w:val="0"/>
          <w:numId w:val="3"/>
        </w:numPr>
      </w:pPr>
      <w:r w:rsidRPr="00F1570C">
        <w:lastRenderedPageBreak/>
        <w:t>environmental conditions</w:t>
      </w:r>
    </w:p>
    <w:p w14:paraId="19B5D821" w14:textId="4789011F" w:rsidR="00F1570C" w:rsidRDefault="00F1570C" w:rsidP="00F1570C"/>
    <w:p w14:paraId="6DFCEC35" w14:textId="719B9434" w:rsidR="00D04909" w:rsidRDefault="00D04909" w:rsidP="00F1570C"/>
    <w:p w14:paraId="78917743" w14:textId="77777777" w:rsidR="00D04909" w:rsidRPr="00F1570C" w:rsidRDefault="00D04909" w:rsidP="00F1570C"/>
    <w:p w14:paraId="703120DF" w14:textId="77777777" w:rsidR="00F1570C" w:rsidRPr="00F1570C" w:rsidRDefault="00F1570C" w:rsidP="00F1570C">
      <w:pPr>
        <w:ind w:left="142"/>
      </w:pPr>
      <w:r w:rsidRPr="00F1570C">
        <w:t xml:space="preserve">You investigate </w:t>
      </w:r>
      <w:r w:rsidRPr="00F1570C">
        <w:rPr>
          <w:b/>
          <w:bCs/>
        </w:rPr>
        <w:t>four GBV-specific factor domains</w:t>
      </w:r>
      <w:r w:rsidRPr="00F1570C">
        <w:t>.</w:t>
      </w:r>
    </w:p>
    <w:p w14:paraId="27C6FA05" w14:textId="77777777" w:rsidR="00F1570C" w:rsidRPr="00F1570C" w:rsidRDefault="00F1570C" w:rsidP="00F1570C">
      <w:pPr>
        <w:ind w:left="142"/>
        <w:rPr>
          <w:b/>
          <w:bCs/>
        </w:rPr>
      </w:pPr>
      <w:r w:rsidRPr="00F1570C">
        <w:rPr>
          <w:b/>
          <w:bCs/>
        </w:rPr>
        <w:t>A. Power and role factors</w:t>
      </w:r>
    </w:p>
    <w:p w14:paraId="17725C5F" w14:textId="77777777" w:rsidR="00F1570C" w:rsidRPr="00F1570C" w:rsidRDefault="00F1570C" w:rsidP="00F1570C">
      <w:pPr>
        <w:numPr>
          <w:ilvl w:val="0"/>
          <w:numId w:val="4"/>
        </w:numPr>
        <w:ind w:left="142"/>
      </w:pPr>
      <w:r w:rsidRPr="00F1570C">
        <w:t>Was there a real or perceived power imbalance?</w:t>
      </w:r>
    </w:p>
    <w:p w14:paraId="194E7817" w14:textId="77777777" w:rsidR="00F1570C" w:rsidRPr="00F1570C" w:rsidRDefault="00F1570C" w:rsidP="00F1570C">
      <w:pPr>
        <w:numPr>
          <w:ilvl w:val="0"/>
          <w:numId w:val="4"/>
        </w:numPr>
      </w:pPr>
      <w:r w:rsidRPr="00F1570C">
        <w:t>Did role authority (manager, supervisor, academic, clinician) constrain choice?</w:t>
      </w:r>
    </w:p>
    <w:p w14:paraId="7261BA15" w14:textId="77777777" w:rsidR="00F1570C" w:rsidRPr="00F1570C" w:rsidRDefault="00F1570C" w:rsidP="00F1570C">
      <w:pPr>
        <w:numPr>
          <w:ilvl w:val="0"/>
          <w:numId w:val="4"/>
        </w:numPr>
        <w:ind w:left="709"/>
      </w:pPr>
      <w:r w:rsidRPr="00F1570C">
        <w:t xml:space="preserve">Were there structural or relational factors affecting the person's ability to disengage or report? </w:t>
      </w:r>
    </w:p>
    <w:p w14:paraId="2A2CAC85" w14:textId="77777777" w:rsidR="00F1570C" w:rsidRPr="00F1570C" w:rsidRDefault="00F1570C" w:rsidP="00F1570C">
      <w:pPr>
        <w:rPr>
          <w:b/>
          <w:bCs/>
        </w:rPr>
      </w:pPr>
      <w:r w:rsidRPr="00F1570C">
        <w:rPr>
          <w:b/>
          <w:bCs/>
        </w:rPr>
        <w:t>B. Organisational and cultural factors</w:t>
      </w:r>
    </w:p>
    <w:p w14:paraId="0EE32B95" w14:textId="77777777" w:rsidR="00F1570C" w:rsidRPr="00F1570C" w:rsidRDefault="00F1570C" w:rsidP="00F1570C">
      <w:pPr>
        <w:numPr>
          <w:ilvl w:val="0"/>
          <w:numId w:val="5"/>
        </w:numPr>
      </w:pPr>
      <w:r w:rsidRPr="00F1570C">
        <w:t>Were behavioural expectations explicit and reinforced?</w:t>
      </w:r>
    </w:p>
    <w:p w14:paraId="3C0BAE9F" w14:textId="77777777" w:rsidR="00F1570C" w:rsidRPr="00F1570C" w:rsidRDefault="00F1570C" w:rsidP="00F1570C">
      <w:pPr>
        <w:numPr>
          <w:ilvl w:val="0"/>
          <w:numId w:val="5"/>
        </w:numPr>
      </w:pPr>
      <w:r w:rsidRPr="00F1570C">
        <w:t>Were boundary breaches normalised or minimised?</w:t>
      </w:r>
    </w:p>
    <w:p w14:paraId="2736EC25" w14:textId="77777777" w:rsidR="00F1570C" w:rsidRPr="00F1570C" w:rsidRDefault="00F1570C" w:rsidP="00F1570C">
      <w:pPr>
        <w:numPr>
          <w:ilvl w:val="0"/>
          <w:numId w:val="5"/>
        </w:numPr>
      </w:pPr>
      <w:r w:rsidRPr="00F1570C">
        <w:t>Were there previous informal warnings or known issues?</w:t>
      </w:r>
    </w:p>
    <w:p w14:paraId="010E0DE1" w14:textId="77777777" w:rsidR="00F1570C" w:rsidRPr="00F1570C" w:rsidRDefault="00F1570C" w:rsidP="00F1570C">
      <w:pPr>
        <w:numPr>
          <w:ilvl w:val="0"/>
          <w:numId w:val="5"/>
        </w:numPr>
      </w:pPr>
      <w:r w:rsidRPr="00F1570C">
        <w:t>Did workplace culture discourage speaking up?</w:t>
      </w:r>
    </w:p>
    <w:p w14:paraId="13371A54" w14:textId="77777777" w:rsidR="00F1570C" w:rsidRPr="00F1570C" w:rsidRDefault="00F1570C" w:rsidP="00F1570C">
      <w:pPr>
        <w:rPr>
          <w:b/>
          <w:bCs/>
        </w:rPr>
      </w:pPr>
      <w:r w:rsidRPr="00F1570C">
        <w:rPr>
          <w:b/>
          <w:bCs/>
        </w:rPr>
        <w:t>C. Control and governance factors</w:t>
      </w:r>
    </w:p>
    <w:p w14:paraId="43F9B4B9" w14:textId="77777777" w:rsidR="00F1570C" w:rsidRPr="00F1570C" w:rsidRDefault="00F1570C" w:rsidP="00F1570C">
      <w:pPr>
        <w:numPr>
          <w:ilvl w:val="0"/>
          <w:numId w:val="6"/>
        </w:numPr>
      </w:pPr>
      <w:proofErr w:type="spellStart"/>
      <w:r w:rsidRPr="00F1570C">
        <w:t>Were</w:t>
      </w:r>
      <w:proofErr w:type="spellEnd"/>
      <w:r w:rsidRPr="00F1570C">
        <w:t xml:space="preserve"> reporting pathways clear and trusted?</w:t>
      </w:r>
    </w:p>
    <w:p w14:paraId="5D9708FD" w14:textId="77777777" w:rsidR="00F1570C" w:rsidRPr="00F1570C" w:rsidRDefault="00F1570C" w:rsidP="00F1570C">
      <w:pPr>
        <w:numPr>
          <w:ilvl w:val="0"/>
          <w:numId w:val="6"/>
        </w:numPr>
      </w:pPr>
      <w:r w:rsidRPr="00F1570C">
        <w:t>Were early reports acted on appropriately?</w:t>
      </w:r>
    </w:p>
    <w:p w14:paraId="0640CA19" w14:textId="77777777" w:rsidR="00F1570C" w:rsidRPr="00F1570C" w:rsidRDefault="00F1570C" w:rsidP="00F1570C">
      <w:pPr>
        <w:numPr>
          <w:ilvl w:val="0"/>
          <w:numId w:val="6"/>
        </w:numPr>
      </w:pPr>
      <w:r w:rsidRPr="00F1570C">
        <w:t>Were managers equipped to intervene early?</w:t>
      </w:r>
    </w:p>
    <w:p w14:paraId="7E95E20B" w14:textId="77777777" w:rsidR="00F1570C" w:rsidRPr="00F1570C" w:rsidRDefault="00F1570C" w:rsidP="00F1570C">
      <w:pPr>
        <w:numPr>
          <w:ilvl w:val="0"/>
          <w:numId w:val="6"/>
        </w:numPr>
      </w:pPr>
      <w:r w:rsidRPr="00F1570C">
        <w:t>Were there gaps between policy and practice?</w:t>
      </w:r>
    </w:p>
    <w:p w14:paraId="570DAC57" w14:textId="77777777" w:rsidR="00FC6CF8" w:rsidRDefault="00D04909">
      <w:r>
        <w:t>Were clarification, pathway decision, procedural fairness and re-triage steps completed where required?</w:t>
      </w:r>
    </w:p>
    <w:p w14:paraId="4299789F" w14:textId="77777777" w:rsidR="00F1570C" w:rsidRPr="00F1570C" w:rsidRDefault="00F1570C" w:rsidP="00F1570C">
      <w:pPr>
        <w:rPr>
          <w:b/>
          <w:bCs/>
        </w:rPr>
      </w:pPr>
      <w:r w:rsidRPr="00F1570C">
        <w:rPr>
          <w:b/>
          <w:bCs/>
        </w:rPr>
        <w:t>D. Environmental and system factors</w:t>
      </w:r>
    </w:p>
    <w:p w14:paraId="14B53EA3" w14:textId="77777777" w:rsidR="00F1570C" w:rsidRPr="00F1570C" w:rsidRDefault="00F1570C" w:rsidP="00F1570C">
      <w:pPr>
        <w:numPr>
          <w:ilvl w:val="0"/>
          <w:numId w:val="7"/>
        </w:numPr>
      </w:pPr>
      <w:r w:rsidRPr="00F1570C">
        <w:t>Did physical or digital environments enable isolation, surveillance, or contact?</w:t>
      </w:r>
    </w:p>
    <w:p w14:paraId="0830A2A6" w14:textId="77777777" w:rsidR="00F1570C" w:rsidRPr="00F1570C" w:rsidRDefault="00F1570C" w:rsidP="00F1570C">
      <w:pPr>
        <w:numPr>
          <w:ilvl w:val="0"/>
          <w:numId w:val="7"/>
        </w:numPr>
      </w:pPr>
      <w:r w:rsidRPr="00F1570C">
        <w:t>Did rostering, supervision, or workload arrangements increase vulnerability?</w:t>
      </w:r>
    </w:p>
    <w:p w14:paraId="4CDC6CF5" w14:textId="77777777" w:rsidR="00F1570C" w:rsidRPr="00F1570C" w:rsidRDefault="00F1570C" w:rsidP="00F1570C">
      <w:pPr>
        <w:numPr>
          <w:ilvl w:val="0"/>
          <w:numId w:val="7"/>
        </w:numPr>
      </w:pPr>
      <w:r w:rsidRPr="00F1570C">
        <w:t>Were safeguards missing or ineffective?</w:t>
      </w:r>
    </w:p>
    <w:p w14:paraId="3F4CC4C0" w14:textId="77777777" w:rsidR="00F1570C" w:rsidRPr="00F1570C" w:rsidRDefault="00F1570C" w:rsidP="00F1570C">
      <w:pPr>
        <w:rPr>
          <w:b/>
          <w:bCs/>
        </w:rPr>
      </w:pPr>
      <w:r w:rsidRPr="00F1570C">
        <w:rPr>
          <w:b/>
          <w:bCs/>
        </w:rPr>
        <w:t>This section is conceptually similar to WHS contributing-factor analysis but reframed for GBV contexts.</w:t>
      </w:r>
    </w:p>
    <w:p w14:paraId="7F24DA1B" w14:textId="77777777" w:rsidR="00F1570C" w:rsidRPr="00F1570C" w:rsidRDefault="00F1570C" w:rsidP="00F1570C">
      <w:pPr>
        <w:rPr>
          <w:b/>
          <w:bCs/>
        </w:rPr>
      </w:pPr>
      <w:r w:rsidRPr="00F1570C">
        <w:rPr>
          <w:b/>
          <w:bCs/>
        </w:rPr>
        <w:t>Section 4: Control effectiveness review</w:t>
      </w:r>
    </w:p>
    <w:p w14:paraId="43D02E47" w14:textId="77777777" w:rsidR="00F1570C" w:rsidRPr="00F1570C" w:rsidRDefault="00F1570C" w:rsidP="00F1570C">
      <w:r w:rsidRPr="00F1570C">
        <w:rPr>
          <w:b/>
          <w:bCs/>
        </w:rPr>
        <w:t>Questions:</w:t>
      </w:r>
    </w:p>
    <w:p w14:paraId="248C25FF" w14:textId="77777777" w:rsidR="00F1570C" w:rsidRPr="00F1570C" w:rsidRDefault="00F1570C" w:rsidP="00F1570C">
      <w:pPr>
        <w:numPr>
          <w:ilvl w:val="0"/>
          <w:numId w:val="8"/>
        </w:numPr>
      </w:pPr>
      <w:r w:rsidRPr="00F1570C">
        <w:t xml:space="preserve">Which existing controls </w:t>
      </w:r>
      <w:r w:rsidRPr="00F1570C">
        <w:rPr>
          <w:i/>
          <w:iCs/>
        </w:rPr>
        <w:t>should</w:t>
      </w:r>
      <w:r w:rsidRPr="00F1570C">
        <w:t xml:space="preserve"> have prevented or limited harm?</w:t>
      </w:r>
    </w:p>
    <w:p w14:paraId="2F9A7710" w14:textId="77777777" w:rsidR="00F1570C" w:rsidRPr="00F1570C" w:rsidRDefault="00F1570C" w:rsidP="00F1570C">
      <w:pPr>
        <w:numPr>
          <w:ilvl w:val="0"/>
          <w:numId w:val="8"/>
        </w:numPr>
      </w:pPr>
      <w:r w:rsidRPr="00F1570C">
        <w:lastRenderedPageBreak/>
        <w:t>Why did those controls not work in practice?</w:t>
      </w:r>
    </w:p>
    <w:p w14:paraId="53D668F8" w14:textId="77777777" w:rsidR="00F1570C" w:rsidRPr="00F1570C" w:rsidRDefault="00F1570C" w:rsidP="00F1570C">
      <w:pPr>
        <w:numPr>
          <w:ilvl w:val="0"/>
          <w:numId w:val="8"/>
        </w:numPr>
      </w:pPr>
      <w:r w:rsidRPr="00F1570C">
        <w:t>Were controls dependent on individual courage rather than system design?</w:t>
      </w:r>
    </w:p>
    <w:p w14:paraId="6385C8DC" w14:textId="77777777" w:rsidR="00F1570C" w:rsidRPr="00F1570C" w:rsidRDefault="00F1570C" w:rsidP="00F1570C">
      <w:pPr>
        <w:numPr>
          <w:ilvl w:val="0"/>
          <w:numId w:val="8"/>
        </w:numPr>
      </w:pPr>
      <w:r w:rsidRPr="00F1570C">
        <w:t>Were controls reactive rather than preventative?</w:t>
      </w:r>
    </w:p>
    <w:p w14:paraId="1E7786CD" w14:textId="77777777" w:rsidR="00FC6CF8" w:rsidRDefault="00D04909">
      <w:r>
        <w:t>Were immediate controls implemented and reviewed without waiting for the investigation outcome?</w:t>
      </w:r>
    </w:p>
    <w:p w14:paraId="6A7B2902" w14:textId="77777777" w:rsidR="00FC6CF8" w:rsidRDefault="00D04909">
      <w:r>
        <w:t>Were ineffective, overdue or disputed controls escalated to the Case Owner / Safeguarding Lead?</w:t>
      </w:r>
    </w:p>
    <w:p w14:paraId="11E116F5" w14:textId="77777777" w:rsidR="00F1570C" w:rsidRPr="00F1570C" w:rsidRDefault="00F1570C" w:rsidP="00F1570C">
      <w:r w:rsidRPr="00F1570C">
        <w:t xml:space="preserve"> This avoids turning the investigation into a disciplinary exercise.</w:t>
      </w:r>
    </w:p>
    <w:p w14:paraId="033A77B2" w14:textId="77777777" w:rsidR="00F1570C" w:rsidRPr="00F1570C" w:rsidRDefault="00F1570C" w:rsidP="00F1570C">
      <w:pPr>
        <w:rPr>
          <w:b/>
          <w:bCs/>
        </w:rPr>
      </w:pPr>
      <w:r w:rsidRPr="00F1570C">
        <w:rPr>
          <w:b/>
          <w:bCs/>
        </w:rPr>
        <w:t>Section 5: Preventive and corrective actions</w:t>
      </w:r>
    </w:p>
    <w:p w14:paraId="750E8E19" w14:textId="77777777" w:rsidR="00F1570C" w:rsidRPr="00F1570C" w:rsidRDefault="00F1570C" w:rsidP="00F1570C">
      <w:pPr>
        <w:rPr>
          <w:b/>
          <w:bCs/>
        </w:rPr>
      </w:pPr>
      <w:r>
        <w:t>This is separate from the immediate support plan / actions and must not delay immediate support, make-safe or safeguarding controls.</w:t>
      </w:r>
    </w:p>
    <w:p w14:paraId="4A6E5C41" w14:textId="77777777" w:rsidR="00F1570C" w:rsidRPr="00F1570C" w:rsidRDefault="00F1570C" w:rsidP="00F1570C">
      <w:r w:rsidRPr="00F1570C">
        <w:t>Actions should target:</w:t>
      </w:r>
    </w:p>
    <w:p w14:paraId="06D60E3F" w14:textId="77777777" w:rsidR="00F1570C" w:rsidRPr="00F1570C" w:rsidRDefault="00F1570C" w:rsidP="00F1570C">
      <w:pPr>
        <w:numPr>
          <w:ilvl w:val="0"/>
          <w:numId w:val="9"/>
        </w:numPr>
      </w:pPr>
      <w:r w:rsidRPr="00F1570C">
        <w:t>system design</w:t>
      </w:r>
    </w:p>
    <w:p w14:paraId="5CED3830" w14:textId="77777777" w:rsidR="00F1570C" w:rsidRPr="00F1570C" w:rsidRDefault="00F1570C" w:rsidP="00F1570C">
      <w:pPr>
        <w:numPr>
          <w:ilvl w:val="0"/>
          <w:numId w:val="9"/>
        </w:numPr>
      </w:pPr>
      <w:r w:rsidRPr="00F1570C">
        <w:t>governance</w:t>
      </w:r>
    </w:p>
    <w:p w14:paraId="13917736" w14:textId="77777777" w:rsidR="00F1570C" w:rsidRPr="00F1570C" w:rsidRDefault="00F1570C" w:rsidP="00F1570C">
      <w:pPr>
        <w:numPr>
          <w:ilvl w:val="0"/>
          <w:numId w:val="9"/>
        </w:numPr>
      </w:pPr>
      <w:r w:rsidRPr="00F1570C">
        <w:t>capability</w:t>
      </w:r>
    </w:p>
    <w:p w14:paraId="4E970A10" w14:textId="77777777" w:rsidR="00F1570C" w:rsidRPr="00F1570C" w:rsidRDefault="00F1570C" w:rsidP="00F1570C">
      <w:pPr>
        <w:numPr>
          <w:ilvl w:val="0"/>
          <w:numId w:val="9"/>
        </w:numPr>
      </w:pPr>
      <w:r w:rsidRPr="00F1570C">
        <w:t>supervision</w:t>
      </w:r>
    </w:p>
    <w:p w14:paraId="1369F18A" w14:textId="77777777" w:rsidR="00F1570C" w:rsidRPr="00F1570C" w:rsidRDefault="00F1570C" w:rsidP="00F1570C">
      <w:pPr>
        <w:numPr>
          <w:ilvl w:val="0"/>
          <w:numId w:val="9"/>
        </w:numPr>
      </w:pPr>
      <w:r w:rsidRPr="00F1570C">
        <w:t>monitoring</w:t>
      </w:r>
    </w:p>
    <w:p w14:paraId="6263F9EC" w14:textId="77777777" w:rsidR="00FC6CF8" w:rsidRDefault="00D04909">
      <w:r>
        <w:t>RiskWare / approved restricted case record action tracking</w:t>
      </w:r>
    </w:p>
    <w:p w14:paraId="3077B4D1" w14:textId="77777777" w:rsidR="00FC6CF8" w:rsidRDefault="00D04909">
      <w:r>
        <w:t>re-triage, escalation or Legal / Governance referral where new information or legal risk emerges</w:t>
      </w:r>
    </w:p>
    <w:p w14:paraId="7B6086D8" w14:textId="77777777" w:rsidR="00F1570C" w:rsidRPr="00F1570C" w:rsidRDefault="00F1570C" w:rsidP="00F1570C">
      <w:pPr>
        <w:ind w:left="142"/>
      </w:pPr>
      <w:r w:rsidRPr="00F1570C">
        <w:rPr>
          <w:b/>
          <w:bCs/>
        </w:rPr>
        <w:t>Not</w:t>
      </w:r>
      <w:r w:rsidRPr="00F1570C">
        <w:t>:</w:t>
      </w:r>
    </w:p>
    <w:p w14:paraId="41221344" w14:textId="77777777" w:rsidR="00F1570C" w:rsidRPr="00F1570C" w:rsidRDefault="00F1570C" w:rsidP="00F1570C">
      <w:pPr>
        <w:numPr>
          <w:ilvl w:val="0"/>
          <w:numId w:val="10"/>
        </w:numPr>
      </w:pPr>
      <w:r w:rsidRPr="00F1570C">
        <w:t>"retrain the individual."</w:t>
      </w:r>
    </w:p>
    <w:p w14:paraId="5349E8DA" w14:textId="77777777" w:rsidR="00F1570C" w:rsidRPr="00F1570C" w:rsidRDefault="00F1570C" w:rsidP="00F1570C">
      <w:pPr>
        <w:numPr>
          <w:ilvl w:val="0"/>
          <w:numId w:val="10"/>
        </w:numPr>
      </w:pPr>
      <w:r w:rsidRPr="00F1570C">
        <w:t>"remind staff of policy."</w:t>
      </w:r>
    </w:p>
    <w:p w14:paraId="4803D6B2" w14:textId="77777777" w:rsidR="00FC6CF8" w:rsidRDefault="00D04909">
      <w:r>
        <w:rPr>
          <w:b/>
        </w:rPr>
        <w:t>Section 6: Procedural fairness, records and closure</w:t>
      </w:r>
    </w:p>
    <w:p w14:paraId="565033CB" w14:textId="77777777" w:rsidR="00FC6CF8" w:rsidRDefault="00D04909">
      <w:r>
        <w:t>The investigation must be conducted in a fair, impartial and trauma-informed way. Parties should be provided with appropriate information about the process and a reasonable opportunity to respond to relevant information, subject to safety, privacy, confidentiality and legal constraints.</w:t>
      </w:r>
    </w:p>
    <w:p w14:paraId="5DDFD760" w14:textId="77777777" w:rsidR="00FC6CF8" w:rsidRDefault="00D04909">
      <w:r>
        <w:t>Investigation records should document the scope, sources of information, interviews or material considered, safety and support controls in place, findings or conclusions reached, rationale, corrective or preventive actions, action owners, review dates and closure handover.</w:t>
      </w:r>
    </w:p>
    <w:p w14:paraId="6F56558A" w14:textId="77777777" w:rsidR="00FC6CF8" w:rsidRDefault="00D04909">
      <w:r>
        <w:t>Closure should not occur until required support arrangements, safeguarding actions, review outcomes, corrective actions and handovers have been documented in RiskWare or the approved restricted case record.</w:t>
      </w:r>
    </w:p>
    <w:p w14:paraId="5E1C7CE7" w14:textId="77777777" w:rsidR="00F1570C" w:rsidRPr="00F1570C" w:rsidRDefault="00F1570C" w:rsidP="00F1570C">
      <w:r w:rsidRPr="00F1570C">
        <w:t>The table below illustrates conceptual parallels with traditional WHS investigation structures to assist practitioners familiar with those models.</w:t>
      </w:r>
    </w:p>
    <w:tbl>
      <w:tblPr>
        <w:tblStyle w:val="TableGrid"/>
        <w:tblW w:w="9493" w:type="dxa"/>
        <w:tblLook w:val="04A0" w:firstRow="1" w:lastRow="0" w:firstColumn="1" w:lastColumn="0" w:noHBand="0" w:noVBand="1"/>
      </w:tblPr>
      <w:tblGrid>
        <w:gridCol w:w="2491"/>
        <w:gridCol w:w="7002"/>
      </w:tblGrid>
      <w:tr w:rsidR="00F1570C" w:rsidRPr="00F1570C" w14:paraId="6B8A904A" w14:textId="77777777" w:rsidTr="00D04909">
        <w:tc>
          <w:tcPr>
            <w:tcW w:w="0" w:type="auto"/>
            <w:shd w:val="clear" w:color="auto" w:fill="D0CECE" w:themeFill="background2" w:themeFillShade="E6"/>
            <w:hideMark/>
          </w:tcPr>
          <w:p w14:paraId="05F087CF" w14:textId="77777777" w:rsidR="00F1570C" w:rsidRPr="00F1570C" w:rsidRDefault="00F1570C" w:rsidP="00F1570C">
            <w:pPr>
              <w:ind w:left="306"/>
              <w:jc w:val="center"/>
              <w:rPr>
                <w:b/>
                <w:bCs/>
              </w:rPr>
            </w:pPr>
            <w:r w:rsidRPr="00F1570C">
              <w:rPr>
                <w:b/>
                <w:bCs/>
              </w:rPr>
              <w:lastRenderedPageBreak/>
              <w:t>ICAM Element</w:t>
            </w:r>
          </w:p>
        </w:tc>
        <w:tc>
          <w:tcPr>
            <w:tcW w:w="7002" w:type="dxa"/>
            <w:shd w:val="clear" w:color="auto" w:fill="D0CECE" w:themeFill="background2" w:themeFillShade="E6"/>
            <w:hideMark/>
          </w:tcPr>
          <w:p w14:paraId="7796B429" w14:textId="77777777" w:rsidR="00F1570C" w:rsidRPr="00F1570C" w:rsidRDefault="00F1570C" w:rsidP="00F1570C">
            <w:pPr>
              <w:ind w:left="368"/>
              <w:jc w:val="center"/>
              <w:rPr>
                <w:b/>
                <w:bCs/>
              </w:rPr>
            </w:pPr>
            <w:r w:rsidRPr="00F1570C">
              <w:rPr>
                <w:b/>
                <w:bCs/>
              </w:rPr>
              <w:t>GBV-Adapted Equivalent</w:t>
            </w:r>
          </w:p>
        </w:tc>
      </w:tr>
      <w:tr w:rsidR="00F1570C" w:rsidRPr="00F1570C" w14:paraId="017FCE52" w14:textId="77777777" w:rsidTr="00D04909">
        <w:tc>
          <w:tcPr>
            <w:tcW w:w="0" w:type="auto"/>
            <w:hideMark/>
          </w:tcPr>
          <w:p w14:paraId="3DCE496A" w14:textId="77777777" w:rsidR="00F1570C" w:rsidRPr="00F1570C" w:rsidRDefault="00F1570C" w:rsidP="00F1570C">
            <w:pPr>
              <w:ind w:left="306"/>
            </w:pPr>
            <w:r w:rsidRPr="00F1570C">
              <w:t>Incident description</w:t>
            </w:r>
          </w:p>
        </w:tc>
        <w:tc>
          <w:tcPr>
            <w:tcW w:w="7002" w:type="dxa"/>
            <w:hideMark/>
          </w:tcPr>
          <w:p w14:paraId="2DE33BF4" w14:textId="77777777" w:rsidR="00F1570C" w:rsidRPr="00F1570C" w:rsidRDefault="00F1570C" w:rsidP="00F1570C">
            <w:pPr>
              <w:ind w:left="368"/>
            </w:pPr>
            <w:r w:rsidRPr="00F1570C">
              <w:t>Behavioural pattern &amp; context</w:t>
            </w:r>
          </w:p>
        </w:tc>
      </w:tr>
      <w:tr w:rsidR="00F1570C" w:rsidRPr="00F1570C" w14:paraId="588AF04A" w14:textId="77777777" w:rsidTr="00D04909">
        <w:tc>
          <w:tcPr>
            <w:tcW w:w="0" w:type="auto"/>
            <w:hideMark/>
          </w:tcPr>
          <w:p w14:paraId="1F1AC8A1" w14:textId="77777777" w:rsidR="00F1570C" w:rsidRPr="00F1570C" w:rsidRDefault="00F1570C" w:rsidP="00F1570C">
            <w:pPr>
              <w:ind w:left="306"/>
            </w:pPr>
            <w:r w:rsidRPr="00F1570C">
              <w:t>Consequence</w:t>
            </w:r>
          </w:p>
        </w:tc>
        <w:tc>
          <w:tcPr>
            <w:tcW w:w="7002" w:type="dxa"/>
            <w:hideMark/>
          </w:tcPr>
          <w:p w14:paraId="618F7BBD" w14:textId="77777777" w:rsidR="00F1570C" w:rsidRPr="00F1570C" w:rsidRDefault="00F1570C" w:rsidP="00F1570C">
            <w:pPr>
              <w:ind w:left="368"/>
            </w:pPr>
            <w:r w:rsidRPr="00F1570C">
              <w:t>Harm, fear, loss of autonomy</w:t>
            </w:r>
          </w:p>
        </w:tc>
      </w:tr>
      <w:tr w:rsidR="00F1570C" w:rsidRPr="00F1570C" w14:paraId="013BAA51" w14:textId="77777777" w:rsidTr="00D04909">
        <w:tc>
          <w:tcPr>
            <w:tcW w:w="0" w:type="auto"/>
            <w:hideMark/>
          </w:tcPr>
          <w:p w14:paraId="65313B52" w14:textId="77777777" w:rsidR="00F1570C" w:rsidRPr="00F1570C" w:rsidRDefault="00F1570C" w:rsidP="00F1570C">
            <w:pPr>
              <w:ind w:left="306"/>
            </w:pPr>
            <w:r w:rsidRPr="00F1570C">
              <w:t>Unsafe acts</w:t>
            </w:r>
          </w:p>
        </w:tc>
        <w:tc>
          <w:tcPr>
            <w:tcW w:w="7002" w:type="dxa"/>
            <w:hideMark/>
          </w:tcPr>
          <w:p w14:paraId="2CBD9CF8" w14:textId="77777777" w:rsidR="00F1570C" w:rsidRPr="00F1570C" w:rsidRDefault="00F1570C" w:rsidP="00F1570C">
            <w:pPr>
              <w:ind w:left="368"/>
            </w:pPr>
            <w:r w:rsidRPr="00F1570C">
              <w:t>Power misuse/boundary violations</w:t>
            </w:r>
          </w:p>
        </w:tc>
      </w:tr>
      <w:tr w:rsidR="00F1570C" w:rsidRPr="00F1570C" w14:paraId="3C6BEF86" w14:textId="77777777" w:rsidTr="00D04909">
        <w:tc>
          <w:tcPr>
            <w:tcW w:w="0" w:type="auto"/>
            <w:hideMark/>
          </w:tcPr>
          <w:p w14:paraId="69019F31" w14:textId="77777777" w:rsidR="00F1570C" w:rsidRPr="00F1570C" w:rsidRDefault="00F1570C" w:rsidP="00F1570C">
            <w:pPr>
              <w:ind w:left="306"/>
            </w:pPr>
            <w:r w:rsidRPr="00F1570C">
              <w:t>Local conditions</w:t>
            </w:r>
          </w:p>
        </w:tc>
        <w:tc>
          <w:tcPr>
            <w:tcW w:w="7002" w:type="dxa"/>
            <w:hideMark/>
          </w:tcPr>
          <w:p w14:paraId="7E451CB9" w14:textId="77777777" w:rsidR="00F1570C" w:rsidRPr="00F1570C" w:rsidRDefault="00F1570C" w:rsidP="00F1570C">
            <w:pPr>
              <w:ind w:left="368"/>
            </w:pPr>
            <w:r w:rsidRPr="00F1570C">
              <w:t>Cultural, supervisory, and relational conditions</w:t>
            </w:r>
          </w:p>
        </w:tc>
      </w:tr>
      <w:tr w:rsidR="00F1570C" w:rsidRPr="00F1570C" w14:paraId="6AD8DDCE" w14:textId="77777777" w:rsidTr="00D04909">
        <w:tc>
          <w:tcPr>
            <w:tcW w:w="0" w:type="auto"/>
            <w:hideMark/>
          </w:tcPr>
          <w:p w14:paraId="13D0CD83" w14:textId="77777777" w:rsidR="00F1570C" w:rsidRPr="00F1570C" w:rsidRDefault="00F1570C" w:rsidP="00F1570C">
            <w:pPr>
              <w:ind w:left="306"/>
            </w:pPr>
            <w:r w:rsidRPr="00F1570C">
              <w:t>Organisational factors</w:t>
            </w:r>
          </w:p>
        </w:tc>
        <w:tc>
          <w:tcPr>
            <w:tcW w:w="7002" w:type="dxa"/>
            <w:hideMark/>
          </w:tcPr>
          <w:p w14:paraId="4C68C84C" w14:textId="77777777" w:rsidR="00F1570C" w:rsidRPr="00F1570C" w:rsidRDefault="00F1570C" w:rsidP="00F1570C">
            <w:pPr>
              <w:ind w:left="368"/>
            </w:pPr>
            <w:r w:rsidRPr="00F1570C">
              <w:t>Governance, leadership, reporting trust</w:t>
            </w:r>
          </w:p>
        </w:tc>
      </w:tr>
      <w:tr w:rsidR="00F1570C" w:rsidRPr="00F1570C" w14:paraId="110C9A2B" w14:textId="77777777" w:rsidTr="00D04909">
        <w:tc>
          <w:tcPr>
            <w:tcW w:w="0" w:type="auto"/>
            <w:hideMark/>
          </w:tcPr>
          <w:p w14:paraId="1CC20BA5" w14:textId="77777777" w:rsidR="00F1570C" w:rsidRPr="00F1570C" w:rsidRDefault="00F1570C" w:rsidP="00F1570C">
            <w:pPr>
              <w:ind w:left="306"/>
            </w:pPr>
            <w:r w:rsidRPr="00F1570C">
              <w:t>Defences</w:t>
            </w:r>
          </w:p>
        </w:tc>
        <w:tc>
          <w:tcPr>
            <w:tcW w:w="7002" w:type="dxa"/>
            <w:hideMark/>
          </w:tcPr>
          <w:p w14:paraId="5B456A51" w14:textId="77777777" w:rsidR="00F1570C" w:rsidRPr="00F1570C" w:rsidRDefault="00F1570C" w:rsidP="00F1570C">
            <w:pPr>
              <w:ind w:left="368"/>
            </w:pPr>
            <w:r w:rsidRPr="00F1570C">
              <w:t>Safeguards, boundaries, escalation pathways</w:t>
            </w:r>
          </w:p>
        </w:tc>
      </w:tr>
      <w:tr w:rsidR="00F1570C" w:rsidRPr="00F1570C" w14:paraId="23E950B9" w14:textId="77777777" w:rsidTr="00D04909">
        <w:tc>
          <w:tcPr>
            <w:tcW w:w="0" w:type="auto"/>
            <w:hideMark/>
          </w:tcPr>
          <w:p w14:paraId="2B8316F3" w14:textId="77777777" w:rsidR="00F1570C" w:rsidRPr="00F1570C" w:rsidRDefault="00F1570C" w:rsidP="00F1570C">
            <w:pPr>
              <w:ind w:left="306"/>
            </w:pPr>
            <w:r w:rsidRPr="00F1570C">
              <w:t>Corrective actions</w:t>
            </w:r>
          </w:p>
        </w:tc>
        <w:tc>
          <w:tcPr>
            <w:tcW w:w="7002" w:type="dxa"/>
            <w:hideMark/>
          </w:tcPr>
          <w:p w14:paraId="5F142C03" w14:textId="77777777" w:rsidR="00F1570C" w:rsidRPr="00F1570C" w:rsidRDefault="00F1570C" w:rsidP="00F1570C">
            <w:pPr>
              <w:ind w:left="368"/>
            </w:pPr>
            <w:r w:rsidRPr="00F1570C">
              <w:t>Systemic prevention &amp; control strengthening</w:t>
            </w:r>
          </w:p>
        </w:tc>
      </w:tr>
      <w:tr w:rsidR="00FC6CF8" w14:paraId="65E02D56" w14:textId="77777777" w:rsidTr="00D04909">
        <w:tc>
          <w:tcPr>
            <w:tcW w:w="2491" w:type="dxa"/>
          </w:tcPr>
          <w:p w14:paraId="48CA96AF" w14:textId="77777777" w:rsidR="00FC6CF8" w:rsidRDefault="00D04909">
            <w:r>
              <w:t>Investigation governance</w:t>
            </w:r>
          </w:p>
        </w:tc>
        <w:tc>
          <w:tcPr>
            <w:tcW w:w="7002" w:type="dxa"/>
          </w:tcPr>
          <w:p w14:paraId="1F038A5F" w14:textId="77777777" w:rsidR="00FC6CF8" w:rsidRDefault="00D04909">
            <w:r>
              <w:t>Procedural fairness, independence, role separation and legal escalation</w:t>
            </w:r>
          </w:p>
        </w:tc>
      </w:tr>
      <w:tr w:rsidR="00FC6CF8" w14:paraId="44F0978D" w14:textId="77777777" w:rsidTr="00D04909">
        <w:tc>
          <w:tcPr>
            <w:tcW w:w="2491" w:type="dxa"/>
          </w:tcPr>
          <w:p w14:paraId="64381960" w14:textId="77777777" w:rsidR="00FC6CF8" w:rsidRDefault="00D04909">
            <w:r>
              <w:t>Closure</w:t>
            </w:r>
          </w:p>
        </w:tc>
        <w:tc>
          <w:tcPr>
            <w:tcW w:w="7002" w:type="dxa"/>
          </w:tcPr>
          <w:p w14:paraId="57326F9C" w14:textId="77777777" w:rsidR="00FC6CF8" w:rsidRDefault="00D04909">
            <w:r>
              <w:t>Documented actions, handovers, review outcomes and control effectiveness</w:t>
            </w:r>
          </w:p>
        </w:tc>
      </w:tr>
    </w:tbl>
    <w:p w14:paraId="5CF2DAEE" w14:textId="77777777" w:rsidR="00232E59" w:rsidRDefault="00232E59"/>
    <w:sectPr w:rsidR="00232E5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21E91" w14:textId="77777777" w:rsidR="004105C3" w:rsidRDefault="004105C3" w:rsidP="00315536">
      <w:pPr>
        <w:spacing w:after="0" w:line="240" w:lineRule="auto"/>
      </w:pPr>
      <w:r>
        <w:separator/>
      </w:r>
    </w:p>
  </w:endnote>
  <w:endnote w:type="continuationSeparator" w:id="0">
    <w:p w14:paraId="513EC97B" w14:textId="77777777" w:rsidR="004105C3" w:rsidRDefault="004105C3" w:rsidP="00315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77032" w14:textId="77777777" w:rsidR="004105C3" w:rsidRDefault="004105C3" w:rsidP="00315536">
      <w:pPr>
        <w:spacing w:after="0" w:line="240" w:lineRule="auto"/>
      </w:pPr>
      <w:r>
        <w:separator/>
      </w:r>
    </w:p>
  </w:footnote>
  <w:footnote w:type="continuationSeparator" w:id="0">
    <w:p w14:paraId="2893912E" w14:textId="77777777" w:rsidR="004105C3" w:rsidRDefault="004105C3" w:rsidP="00315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F44C" w14:textId="0D5DC00B" w:rsidR="00266D64" w:rsidRPr="00266D64" w:rsidRDefault="00315536" w:rsidP="00266D64">
    <w:pPr>
      <w:keepNext/>
      <w:keepLines/>
      <w:spacing w:before="240" w:after="0"/>
      <w:jc w:val="center"/>
      <w:outlineLvl w:val="0"/>
    </w:pPr>
    <w:r>
      <w:rPr>
        <w:noProof/>
      </w:rPr>
      <w:drawing>
        <wp:anchor distT="0" distB="0" distL="114300" distR="114300" simplePos="0" relativeHeight="251659264" behindDoc="0" locked="0" layoutInCell="1" allowOverlap="1" wp14:anchorId="628F3CE1" wp14:editId="2C1F6838">
          <wp:simplePos x="0" y="0"/>
          <wp:positionH relativeFrom="margin">
            <wp:posOffset>-676275</wp:posOffset>
          </wp:positionH>
          <wp:positionV relativeFrom="paragraph">
            <wp:posOffset>-257810</wp:posOffset>
          </wp:positionV>
          <wp:extent cx="1362075" cy="718308"/>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7183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0523">
      <w:t>WH</w:t>
    </w:r>
    <w:r w:rsidR="005F3B8B">
      <w:t>SM</w:t>
    </w:r>
    <w:r w:rsidR="00FD0523">
      <w:t xml:space="preserve">P19 – GUI </w:t>
    </w:r>
    <w:r w:rsidR="00266D64">
      <w:t>–</w:t>
    </w:r>
    <w:r w:rsidR="00FD0523">
      <w:t xml:space="preserve"> </w:t>
    </w:r>
    <w:r w:rsidR="00266D64">
      <w:t xml:space="preserve">04 - </w:t>
    </w:r>
    <w:r w:rsidR="00266D64" w:rsidRPr="00266D64">
      <w:t>Investigation Protocols</w:t>
    </w:r>
  </w:p>
  <w:p w14:paraId="1F72C5B4" w14:textId="21F7056B" w:rsidR="00315536" w:rsidRDefault="00315536" w:rsidP="00266D64">
    <w:pPr>
      <w:keepNext/>
      <w:keepLines/>
      <w:spacing w:before="240" w:after="0"/>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4CB"/>
    <w:multiLevelType w:val="multilevel"/>
    <w:tmpl w:val="48E2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42102"/>
    <w:multiLevelType w:val="multilevel"/>
    <w:tmpl w:val="2100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E3FCF"/>
    <w:multiLevelType w:val="multilevel"/>
    <w:tmpl w:val="3648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34AA5"/>
    <w:multiLevelType w:val="multilevel"/>
    <w:tmpl w:val="A2E4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F08AC"/>
    <w:multiLevelType w:val="multilevel"/>
    <w:tmpl w:val="CF20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F71A70"/>
    <w:multiLevelType w:val="multilevel"/>
    <w:tmpl w:val="D6B0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DD053C"/>
    <w:multiLevelType w:val="multilevel"/>
    <w:tmpl w:val="0174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4C72B2"/>
    <w:multiLevelType w:val="multilevel"/>
    <w:tmpl w:val="B87E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5E20E4"/>
    <w:multiLevelType w:val="multilevel"/>
    <w:tmpl w:val="1328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0743D7"/>
    <w:multiLevelType w:val="multilevel"/>
    <w:tmpl w:val="96A4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5C64B7"/>
    <w:multiLevelType w:val="multilevel"/>
    <w:tmpl w:val="23F6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081B70"/>
    <w:multiLevelType w:val="multilevel"/>
    <w:tmpl w:val="84BA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1105231">
    <w:abstractNumId w:val="0"/>
  </w:num>
  <w:num w:numId="2" w16cid:durableId="515923699">
    <w:abstractNumId w:val="5"/>
  </w:num>
  <w:num w:numId="3" w16cid:durableId="1561091407">
    <w:abstractNumId w:val="4"/>
  </w:num>
  <w:num w:numId="4" w16cid:durableId="913857184">
    <w:abstractNumId w:val="2"/>
  </w:num>
  <w:num w:numId="5" w16cid:durableId="960067525">
    <w:abstractNumId w:val="9"/>
  </w:num>
  <w:num w:numId="6" w16cid:durableId="1663853618">
    <w:abstractNumId w:val="8"/>
  </w:num>
  <w:num w:numId="7" w16cid:durableId="1916234080">
    <w:abstractNumId w:val="1"/>
  </w:num>
  <w:num w:numId="8" w16cid:durableId="817720618">
    <w:abstractNumId w:val="7"/>
  </w:num>
  <w:num w:numId="9" w16cid:durableId="1624459397">
    <w:abstractNumId w:val="10"/>
  </w:num>
  <w:num w:numId="10" w16cid:durableId="818108794">
    <w:abstractNumId w:val="6"/>
  </w:num>
  <w:num w:numId="11" w16cid:durableId="3554568">
    <w:abstractNumId w:val="3"/>
  </w:num>
  <w:num w:numId="12" w16cid:durableId="138964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wMjW0sDAxNDI0NzVT0lEKTi0uzszPAykwqQUA0g+PLCwAAAA="/>
  </w:docVars>
  <w:rsids>
    <w:rsidRoot w:val="00F1570C"/>
    <w:rsid w:val="00034F1D"/>
    <w:rsid w:val="00232E59"/>
    <w:rsid w:val="00266D64"/>
    <w:rsid w:val="00315536"/>
    <w:rsid w:val="00331039"/>
    <w:rsid w:val="0036250C"/>
    <w:rsid w:val="004105C3"/>
    <w:rsid w:val="004B3ED1"/>
    <w:rsid w:val="004D6727"/>
    <w:rsid w:val="005C15E6"/>
    <w:rsid w:val="005F3B8B"/>
    <w:rsid w:val="007227DF"/>
    <w:rsid w:val="007614F5"/>
    <w:rsid w:val="0076683C"/>
    <w:rsid w:val="00834102"/>
    <w:rsid w:val="008E4C27"/>
    <w:rsid w:val="00980CC6"/>
    <w:rsid w:val="00D04909"/>
    <w:rsid w:val="00E2405D"/>
    <w:rsid w:val="00EB25E2"/>
    <w:rsid w:val="00F1570C"/>
    <w:rsid w:val="00FC3643"/>
    <w:rsid w:val="00FC6CF8"/>
    <w:rsid w:val="00FD05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6068E"/>
  <w15:chartTrackingRefBased/>
  <w15:docId w15:val="{3F74B45A-797B-4AB7-BBA4-F411FB35D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5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5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536"/>
  </w:style>
  <w:style w:type="paragraph" w:styleId="Footer">
    <w:name w:val="footer"/>
    <w:basedOn w:val="Normal"/>
    <w:link w:val="FooterChar"/>
    <w:uiPriority w:val="99"/>
    <w:unhideWhenUsed/>
    <w:rsid w:val="00315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1147</Words>
  <Characters>6541</Characters>
  <Application>Microsoft Office Word</Application>
  <DocSecurity>0</DocSecurity>
  <Lines>54</Lines>
  <Paragraphs>15</Paragraphs>
  <ScaleCrop>false</ScaleCrop>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Brown</dc:creator>
  <cp:keywords/>
  <dc:description/>
  <cp:lastModifiedBy>Michael Karkkainen</cp:lastModifiedBy>
  <cp:revision>12</cp:revision>
  <dcterms:created xsi:type="dcterms:W3CDTF">2026-06-02T01:09:00Z</dcterms:created>
  <dcterms:modified xsi:type="dcterms:W3CDTF">2026-09-13T23:48:00Z</dcterms:modified>
</cp:coreProperties>
</file>