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08EA" w14:textId="77777777" w:rsidR="003E317B" w:rsidRPr="003E317B" w:rsidRDefault="003E317B" w:rsidP="003E317B">
      <w:pPr>
        <w:pStyle w:val="Heading4"/>
      </w:pPr>
      <w:bookmarkStart w:id="0" w:name="_GoBack"/>
      <w:bookmarkEnd w:id="0"/>
      <w:r w:rsidRPr="003E317B">
        <w:t>SELF-ASSESSMENT CHECKLIST FOR UNIT SUBMISSIONS</w:t>
      </w:r>
    </w:p>
    <w:p w14:paraId="31C6CD4E" w14:textId="77777777" w:rsidR="003E317B" w:rsidRPr="00A47015" w:rsidRDefault="003E317B" w:rsidP="003C6A83">
      <w:pPr>
        <w:ind w:left="1004"/>
        <w:jc w:val="right"/>
        <w:rPr>
          <w:b/>
          <w:i/>
          <w:sz w:val="20"/>
        </w:rPr>
      </w:pPr>
      <w:r w:rsidRPr="00A47015">
        <w:rPr>
          <w:b/>
          <w:i/>
          <w:sz w:val="20"/>
        </w:rPr>
        <w:t xml:space="preserve">Remember:  The </w:t>
      </w:r>
      <w:hyperlink r:id="rId10" w:history="1">
        <w:r w:rsidRPr="00A47015">
          <w:rPr>
            <w:rStyle w:val="Hyperlink"/>
            <w:b/>
            <w:i/>
            <w:sz w:val="20"/>
          </w:rPr>
          <w:t>template instructions</w:t>
        </w:r>
      </w:hyperlink>
      <w:r w:rsidRPr="00A47015">
        <w:rPr>
          <w:b/>
          <w:i/>
          <w:sz w:val="20"/>
        </w:rPr>
        <w:t xml:space="preserve"> are a great source of detailed information to assist with the review!</w:t>
      </w:r>
    </w:p>
    <w:tbl>
      <w:tblPr>
        <w:tblStyle w:val="TableGrid"/>
        <w:tblW w:w="5001" w:type="pct"/>
        <w:tblLook w:val="04A0" w:firstRow="1" w:lastRow="0" w:firstColumn="1" w:lastColumn="0" w:noHBand="0" w:noVBand="1"/>
      </w:tblPr>
      <w:tblGrid>
        <w:gridCol w:w="12754"/>
        <w:gridCol w:w="1809"/>
      </w:tblGrid>
      <w:tr w:rsidR="003E317B" w:rsidRPr="00526DC5" w14:paraId="2494B2D6" w14:textId="77777777" w:rsidTr="003C6A83">
        <w:tc>
          <w:tcPr>
            <w:tcW w:w="4379" w:type="pct"/>
            <w:shd w:val="clear" w:color="auto" w:fill="D5DCE4" w:themeFill="text2" w:themeFillTint="33"/>
            <w:vAlign w:val="center"/>
          </w:tcPr>
          <w:p w14:paraId="32BEEA13" w14:textId="77777777" w:rsidR="003E317B" w:rsidRPr="00526DC5" w:rsidRDefault="003E317B" w:rsidP="003E317B">
            <w:pPr>
              <w:keepNext/>
              <w:keepLines/>
              <w:autoSpaceDE w:val="0"/>
              <w:autoSpaceDN w:val="0"/>
              <w:adjustRightInd w:val="0"/>
              <w:spacing w:before="60" w:after="60"/>
              <w:jc w:val="left"/>
              <w:rPr>
                <w:rFonts w:ascii="Roboto" w:hAnsi="Roboto" w:cstheme="minorHAnsi"/>
                <w:b/>
                <w:bCs/>
                <w:color w:val="005E86"/>
              </w:rPr>
            </w:pPr>
            <w:r>
              <w:rPr>
                <w:rFonts w:ascii="Roboto" w:hAnsi="Roboto" w:cstheme="minorHAnsi"/>
                <w:b/>
                <w:bCs/>
                <w:color w:val="005E86"/>
              </w:rPr>
              <w:t xml:space="preserve">Generally: </w:t>
            </w:r>
          </w:p>
        </w:tc>
        <w:tc>
          <w:tcPr>
            <w:tcW w:w="621" w:type="pct"/>
            <w:shd w:val="clear" w:color="auto" w:fill="D5DCE4" w:themeFill="text2" w:themeFillTint="33"/>
            <w:vAlign w:val="center"/>
          </w:tcPr>
          <w:p w14:paraId="6126B258" w14:textId="77777777" w:rsidR="003E317B" w:rsidRPr="00601DE7" w:rsidRDefault="003E317B" w:rsidP="003E317B">
            <w:pPr>
              <w:keepNext/>
              <w:keepLines/>
              <w:autoSpaceDE w:val="0"/>
              <w:autoSpaceDN w:val="0"/>
              <w:adjustRightInd w:val="0"/>
              <w:spacing w:before="60" w:after="60"/>
              <w:jc w:val="center"/>
              <w:rPr>
                <w:rFonts w:ascii="Roboto" w:hAnsi="Roboto" w:cstheme="minorHAnsi"/>
                <w:b/>
                <w:bCs/>
                <w:i/>
                <w:color w:val="005E86"/>
                <w:sz w:val="20"/>
              </w:rPr>
            </w:pPr>
            <w:r>
              <w:rPr>
                <w:rFonts w:ascii="Roboto" w:hAnsi="Roboto" w:cstheme="minorHAnsi"/>
                <w:b/>
                <w:bCs/>
                <w:i/>
                <w:color w:val="005E86"/>
                <w:sz w:val="20"/>
              </w:rPr>
              <w:t>Tick or comment if not provided</w:t>
            </w:r>
          </w:p>
        </w:tc>
      </w:tr>
      <w:tr w:rsidR="003E317B" w:rsidRPr="00526DC5" w14:paraId="764B6401" w14:textId="77777777" w:rsidTr="003C6A83">
        <w:tc>
          <w:tcPr>
            <w:tcW w:w="4379" w:type="pct"/>
          </w:tcPr>
          <w:p w14:paraId="779D7F8D" w14:textId="77777777" w:rsidR="003E317B" w:rsidRPr="00526DC5" w:rsidRDefault="003E317B" w:rsidP="003E317B">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If a unit amendment, the </w:t>
            </w:r>
            <w:r>
              <w:rPr>
                <w:rFonts w:asciiTheme="minorHAnsi" w:hAnsiTheme="minorHAnsi" w:cstheme="minorHAnsi"/>
                <w:b/>
                <w:sz w:val="20"/>
              </w:rPr>
              <w:t>Rationale/Background</w:t>
            </w:r>
            <w:r>
              <w:rPr>
                <w:rFonts w:asciiTheme="minorHAnsi" w:hAnsiTheme="minorHAnsi" w:cstheme="minorHAnsi"/>
                <w:sz w:val="20"/>
              </w:rPr>
              <w:t xml:space="preserve"> provides a rationale for the change, not just a description.</w:t>
            </w:r>
          </w:p>
        </w:tc>
        <w:tc>
          <w:tcPr>
            <w:tcW w:w="621" w:type="pct"/>
            <w:vAlign w:val="center"/>
          </w:tcPr>
          <w:p w14:paraId="70332CD2" w14:textId="77777777" w:rsidR="003E317B" w:rsidRPr="00526DC5" w:rsidRDefault="003E317B" w:rsidP="003E317B">
            <w:pPr>
              <w:keepLines/>
              <w:autoSpaceDE w:val="0"/>
              <w:autoSpaceDN w:val="0"/>
              <w:adjustRightInd w:val="0"/>
              <w:spacing w:before="40" w:after="40"/>
              <w:jc w:val="center"/>
              <w:rPr>
                <w:rFonts w:asciiTheme="minorHAnsi" w:hAnsiTheme="minorHAnsi" w:cstheme="minorHAnsi"/>
                <w:sz w:val="20"/>
              </w:rPr>
            </w:pPr>
          </w:p>
        </w:tc>
      </w:tr>
      <w:tr w:rsidR="003E317B" w:rsidRPr="00D52E25" w14:paraId="1D374F37" w14:textId="77777777" w:rsidTr="003C6A83">
        <w:tc>
          <w:tcPr>
            <w:tcW w:w="4379" w:type="pct"/>
          </w:tcPr>
          <w:p w14:paraId="454873F9" w14:textId="77777777" w:rsidR="003E317B" w:rsidRPr="00D52E25" w:rsidRDefault="003E317B" w:rsidP="003E317B">
            <w:pPr>
              <w:keepLines/>
              <w:autoSpaceDE w:val="0"/>
              <w:autoSpaceDN w:val="0"/>
              <w:adjustRightInd w:val="0"/>
              <w:spacing w:before="40" w:after="40"/>
              <w:jc w:val="left"/>
              <w:rPr>
                <w:rFonts w:asciiTheme="minorHAnsi" w:hAnsiTheme="minorHAnsi" w:cstheme="minorHAnsi"/>
                <w:sz w:val="20"/>
              </w:rPr>
            </w:pPr>
            <w:r w:rsidRPr="00D52E25">
              <w:rPr>
                <w:rFonts w:asciiTheme="minorHAnsi" w:hAnsiTheme="minorHAnsi" w:cstheme="minorHAnsi"/>
                <w:sz w:val="20"/>
              </w:rPr>
              <w:t>For submissions with multiple new units, any variations from compliance</w:t>
            </w:r>
            <w:r>
              <w:rPr>
                <w:rFonts w:asciiTheme="minorHAnsi" w:hAnsiTheme="minorHAnsi" w:cstheme="minorHAnsi"/>
                <w:sz w:val="20"/>
              </w:rPr>
              <w:t xml:space="preserve"> are noted</w:t>
            </w:r>
            <w:r w:rsidRPr="00D52E25">
              <w:rPr>
                <w:rFonts w:asciiTheme="minorHAnsi" w:hAnsiTheme="minorHAnsi" w:cstheme="minorHAnsi"/>
                <w:sz w:val="20"/>
              </w:rPr>
              <w:t xml:space="preserve"> </w:t>
            </w:r>
            <w:r>
              <w:rPr>
                <w:rFonts w:asciiTheme="minorHAnsi" w:hAnsiTheme="minorHAnsi" w:cstheme="minorHAnsi"/>
                <w:sz w:val="20"/>
              </w:rPr>
              <w:t>below</w:t>
            </w:r>
            <w:r w:rsidRPr="00D52E25">
              <w:rPr>
                <w:rFonts w:asciiTheme="minorHAnsi" w:hAnsiTheme="minorHAnsi" w:cstheme="minorHAnsi"/>
                <w:sz w:val="20"/>
              </w:rPr>
              <w:t xml:space="preserve"> with the relevant details</w:t>
            </w:r>
          </w:p>
        </w:tc>
        <w:tc>
          <w:tcPr>
            <w:tcW w:w="621" w:type="pct"/>
            <w:vAlign w:val="center"/>
          </w:tcPr>
          <w:p w14:paraId="0795E9CF" w14:textId="77777777" w:rsidR="003E317B" w:rsidRPr="00D52E25" w:rsidRDefault="003E317B" w:rsidP="003E317B">
            <w:pPr>
              <w:keepLines/>
              <w:autoSpaceDE w:val="0"/>
              <w:autoSpaceDN w:val="0"/>
              <w:adjustRightInd w:val="0"/>
              <w:spacing w:before="40" w:after="40"/>
              <w:jc w:val="center"/>
              <w:rPr>
                <w:rFonts w:asciiTheme="minorHAnsi" w:hAnsiTheme="minorHAnsi" w:cstheme="minorHAnsi"/>
                <w:sz w:val="20"/>
              </w:rPr>
            </w:pPr>
          </w:p>
        </w:tc>
      </w:tr>
    </w:tbl>
    <w:p w14:paraId="6DE6C07A" w14:textId="77777777" w:rsidR="003E317B" w:rsidRDefault="003E317B" w:rsidP="003E317B"/>
    <w:tbl>
      <w:tblPr>
        <w:tblStyle w:val="TableGrid"/>
        <w:tblW w:w="5000" w:type="pct"/>
        <w:tblLayout w:type="fixed"/>
        <w:tblLook w:val="04A0" w:firstRow="1" w:lastRow="0" w:firstColumn="1" w:lastColumn="0" w:noHBand="0" w:noVBand="1"/>
      </w:tblPr>
      <w:tblGrid>
        <w:gridCol w:w="1980"/>
        <w:gridCol w:w="5652"/>
        <w:gridCol w:w="847"/>
        <w:gridCol w:w="4100"/>
        <w:gridCol w:w="12"/>
        <w:gridCol w:w="1969"/>
      </w:tblGrid>
      <w:tr w:rsidR="003E317B" w:rsidRPr="00526DC5" w14:paraId="3E99A012" w14:textId="77777777" w:rsidTr="003C6A83">
        <w:trPr>
          <w:tblHeader/>
        </w:trPr>
        <w:tc>
          <w:tcPr>
            <w:tcW w:w="680" w:type="pct"/>
            <w:shd w:val="clear" w:color="auto" w:fill="005E86"/>
            <w:vAlign w:val="center"/>
          </w:tcPr>
          <w:p w14:paraId="4872FDCF" w14:textId="77777777" w:rsidR="003E317B" w:rsidRPr="00526DC5" w:rsidRDefault="003E317B" w:rsidP="003C6A83">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Where Documented</w:t>
            </w:r>
          </w:p>
        </w:tc>
        <w:tc>
          <w:tcPr>
            <w:tcW w:w="2232" w:type="pct"/>
            <w:gridSpan w:val="2"/>
            <w:shd w:val="clear" w:color="auto" w:fill="005E86"/>
            <w:vAlign w:val="center"/>
          </w:tcPr>
          <w:p w14:paraId="7E7FC0D7" w14:textId="77777777" w:rsidR="003E317B" w:rsidRPr="00526DC5" w:rsidRDefault="003E317B" w:rsidP="003C6A83">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Clause and Requirement</w:t>
            </w:r>
            <w:r>
              <w:rPr>
                <w:rFonts w:ascii="Roboto Black" w:hAnsi="Roboto Black" w:cstheme="minorHAnsi"/>
                <w:b/>
                <w:bCs/>
                <w:color w:val="FFFFFF" w:themeColor="background1"/>
              </w:rPr>
              <w:t xml:space="preserve"> (Para in Policy)</w:t>
            </w:r>
          </w:p>
        </w:tc>
        <w:tc>
          <w:tcPr>
            <w:tcW w:w="1412" w:type="pct"/>
            <w:gridSpan w:val="2"/>
            <w:shd w:val="clear" w:color="auto" w:fill="005E86"/>
            <w:vAlign w:val="center"/>
          </w:tcPr>
          <w:p w14:paraId="061605B9" w14:textId="77777777" w:rsidR="003E317B" w:rsidRPr="00526DC5" w:rsidRDefault="003E317B" w:rsidP="003C6A83">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Evidence Required</w:t>
            </w:r>
          </w:p>
        </w:tc>
        <w:tc>
          <w:tcPr>
            <w:tcW w:w="676" w:type="pct"/>
            <w:shd w:val="clear" w:color="auto" w:fill="005E86"/>
            <w:vAlign w:val="center"/>
          </w:tcPr>
          <w:p w14:paraId="15E64960" w14:textId="77777777" w:rsidR="003E317B" w:rsidRPr="00526DC5" w:rsidRDefault="003E317B" w:rsidP="003C6A83">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 xml:space="preserve">Faculty </w:t>
            </w:r>
            <w:r>
              <w:rPr>
                <w:rFonts w:ascii="Roboto Black" w:hAnsi="Roboto Black" w:cstheme="minorHAnsi"/>
                <w:b/>
                <w:bCs/>
                <w:color w:val="FFFFFF" w:themeColor="background1"/>
              </w:rPr>
              <w:t>check</w:t>
            </w:r>
          </w:p>
        </w:tc>
      </w:tr>
      <w:tr w:rsidR="003E317B" w:rsidRPr="00B22E81" w14:paraId="319B07A7" w14:textId="77777777" w:rsidTr="003C6A83">
        <w:tc>
          <w:tcPr>
            <w:tcW w:w="5000" w:type="pct"/>
            <w:gridSpan w:val="6"/>
            <w:shd w:val="clear" w:color="auto" w:fill="D9E2F3" w:themeFill="accent1" w:themeFillTint="33"/>
          </w:tcPr>
          <w:p w14:paraId="269EB539" w14:textId="77777777" w:rsidR="003E317B" w:rsidRPr="009D27C3" w:rsidRDefault="003E317B" w:rsidP="003C6A83">
            <w:pPr>
              <w:keepNext/>
              <w:keepLines/>
              <w:autoSpaceDE w:val="0"/>
              <w:autoSpaceDN w:val="0"/>
              <w:adjustRightInd w:val="0"/>
              <w:spacing w:before="40" w:after="40"/>
              <w:jc w:val="center"/>
              <w:rPr>
                <w:rFonts w:asciiTheme="minorHAnsi" w:hAnsiTheme="minorHAnsi" w:cstheme="minorHAnsi"/>
                <w:b/>
                <w:sz w:val="20"/>
              </w:rPr>
            </w:pPr>
            <w:r w:rsidRPr="009D27C3">
              <w:rPr>
                <w:rFonts w:asciiTheme="minorHAnsi" w:hAnsiTheme="minorHAnsi" w:cstheme="minorHAnsi"/>
                <w:b/>
                <w:sz w:val="20"/>
              </w:rPr>
              <w:t xml:space="preserve">Section 1 Unit Title </w:t>
            </w:r>
          </w:p>
        </w:tc>
      </w:tr>
      <w:tr w:rsidR="003E317B" w:rsidRPr="00526DC5" w14:paraId="4EDFF54A" w14:textId="77777777" w:rsidTr="003C6A83">
        <w:tc>
          <w:tcPr>
            <w:tcW w:w="680" w:type="pct"/>
          </w:tcPr>
          <w:p w14:paraId="23815122"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1 &gt; Details &gt; Unit Title</w:t>
            </w:r>
          </w:p>
        </w:tc>
        <w:tc>
          <w:tcPr>
            <w:tcW w:w="1941" w:type="pct"/>
          </w:tcPr>
          <w:p w14:paraId="3312596C"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Name is concise, appealing and accurately represent the unit aim and content to students</w:t>
            </w:r>
          </w:p>
        </w:tc>
        <w:tc>
          <w:tcPr>
            <w:tcW w:w="291" w:type="pct"/>
          </w:tcPr>
          <w:p w14:paraId="61FD566E"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49</w:t>
            </w:r>
          </w:p>
        </w:tc>
        <w:tc>
          <w:tcPr>
            <w:tcW w:w="1408" w:type="pct"/>
          </w:tcPr>
          <w:p w14:paraId="4EE99DC4"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name</w:t>
            </w:r>
          </w:p>
        </w:tc>
        <w:tc>
          <w:tcPr>
            <w:tcW w:w="680" w:type="pct"/>
            <w:gridSpan w:val="2"/>
            <w:vAlign w:val="center"/>
          </w:tcPr>
          <w:p w14:paraId="73563FF1"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3134876D" w14:textId="77777777" w:rsidTr="003C6A83">
        <w:tc>
          <w:tcPr>
            <w:tcW w:w="680" w:type="pct"/>
          </w:tcPr>
          <w:p w14:paraId="00D1F1BA"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1 &gt; Details &gt; Unit Title</w:t>
            </w:r>
          </w:p>
        </w:tc>
        <w:tc>
          <w:tcPr>
            <w:tcW w:w="1941" w:type="pct"/>
          </w:tcPr>
          <w:p w14:paraId="113317E2"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Aim describes the unit’s purpose with respect to intended development of knowledge and capabilities and disciplinary focus</w:t>
            </w:r>
          </w:p>
        </w:tc>
        <w:tc>
          <w:tcPr>
            <w:tcW w:w="291" w:type="pct"/>
          </w:tcPr>
          <w:p w14:paraId="7027EC20"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50</w:t>
            </w:r>
          </w:p>
        </w:tc>
        <w:tc>
          <w:tcPr>
            <w:tcW w:w="1408" w:type="pct"/>
          </w:tcPr>
          <w:p w14:paraId="469A87B7"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name</w:t>
            </w:r>
          </w:p>
        </w:tc>
        <w:tc>
          <w:tcPr>
            <w:tcW w:w="680" w:type="pct"/>
            <w:gridSpan w:val="2"/>
            <w:vAlign w:val="center"/>
          </w:tcPr>
          <w:p w14:paraId="315551EC"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4BCED847" w14:textId="77777777" w:rsidTr="003C6A83">
        <w:tc>
          <w:tcPr>
            <w:tcW w:w="680" w:type="pct"/>
          </w:tcPr>
          <w:p w14:paraId="473C3F62"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UCMS &gt; Section 1 &gt; Details</w:t>
            </w:r>
          </w:p>
        </w:tc>
        <w:tc>
          <w:tcPr>
            <w:tcW w:w="1941" w:type="pct"/>
          </w:tcPr>
          <w:p w14:paraId="6D5863D2"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The Level of Study reflects the specificity of learning within a discipline and cognitive complexity of intended learning outcomes in the context of the course(s) with which the unit is associated, based on the descriptors in Schedule A of the </w:t>
            </w:r>
            <w:hyperlink r:id="rId11" w:tgtFrame="_blank" w:history="1">
              <w:r w:rsidRPr="00526DC5">
                <w:rPr>
                  <w:rStyle w:val="Hyperlink"/>
                  <w:rFonts w:asciiTheme="minorHAnsi" w:hAnsiTheme="minorHAnsi" w:cstheme="minorHAnsi"/>
                  <w:sz w:val="20"/>
                </w:rPr>
                <w:t>Definitions (Academic) Policy</w:t>
              </w:r>
            </w:hyperlink>
          </w:p>
        </w:tc>
        <w:tc>
          <w:tcPr>
            <w:tcW w:w="291" w:type="pct"/>
          </w:tcPr>
          <w:p w14:paraId="72FA6B98"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54</w:t>
            </w:r>
          </w:p>
        </w:tc>
        <w:tc>
          <w:tcPr>
            <w:tcW w:w="1408" w:type="pct"/>
          </w:tcPr>
          <w:p w14:paraId="0BFE8D40"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Levels at which Unit Learning Outcomes develop Course Learning Outcomes</w:t>
            </w:r>
          </w:p>
        </w:tc>
        <w:tc>
          <w:tcPr>
            <w:tcW w:w="680" w:type="pct"/>
            <w:gridSpan w:val="2"/>
            <w:shd w:val="clear" w:color="auto" w:fill="FFFFFF" w:themeFill="background1"/>
            <w:vAlign w:val="center"/>
          </w:tcPr>
          <w:p w14:paraId="3F7D7A6F" w14:textId="77777777" w:rsidR="003E317B" w:rsidRPr="002161C9" w:rsidRDefault="003E317B" w:rsidP="003C6A83">
            <w:pPr>
              <w:keepLines/>
              <w:autoSpaceDE w:val="0"/>
              <w:autoSpaceDN w:val="0"/>
              <w:adjustRightInd w:val="0"/>
              <w:spacing w:before="40" w:after="40"/>
              <w:jc w:val="center"/>
              <w:rPr>
                <w:rFonts w:asciiTheme="minorHAnsi" w:hAnsiTheme="minorHAnsi" w:cstheme="minorHAnsi"/>
                <w:sz w:val="20"/>
                <w:highlight w:val="yellow"/>
              </w:rPr>
            </w:pPr>
            <w:r w:rsidRPr="002161C9">
              <w:rPr>
                <w:rFonts w:asciiTheme="minorHAnsi" w:hAnsiTheme="minorHAnsi" w:cstheme="minorHAnsi"/>
                <w:sz w:val="20"/>
                <w:highlight w:val="yellow"/>
              </w:rPr>
              <w:t>NB – Level of Study needs to be added to UCMS</w:t>
            </w:r>
          </w:p>
        </w:tc>
      </w:tr>
      <w:tr w:rsidR="003E317B" w:rsidRPr="00B22E81" w14:paraId="53E14517" w14:textId="77777777" w:rsidTr="003C6A83">
        <w:tc>
          <w:tcPr>
            <w:tcW w:w="5000" w:type="pct"/>
            <w:gridSpan w:val="6"/>
            <w:shd w:val="clear" w:color="auto" w:fill="D9E2F3" w:themeFill="accent1" w:themeFillTint="33"/>
          </w:tcPr>
          <w:p w14:paraId="594C0178" w14:textId="77777777" w:rsidR="003E317B" w:rsidRPr="009D27C3" w:rsidRDefault="003E317B" w:rsidP="003C6A83">
            <w:pPr>
              <w:keepNext/>
              <w:keepLines/>
              <w:autoSpaceDE w:val="0"/>
              <w:autoSpaceDN w:val="0"/>
              <w:adjustRightInd w:val="0"/>
              <w:spacing w:before="40" w:after="40"/>
              <w:jc w:val="center"/>
              <w:rPr>
                <w:rFonts w:asciiTheme="minorHAnsi" w:hAnsiTheme="minorHAnsi" w:cstheme="minorHAnsi"/>
                <w:b/>
                <w:sz w:val="20"/>
              </w:rPr>
            </w:pPr>
            <w:r w:rsidRPr="009D27C3">
              <w:rPr>
                <w:rFonts w:asciiTheme="minorHAnsi" w:hAnsiTheme="minorHAnsi" w:cstheme="minorHAnsi"/>
                <w:b/>
                <w:sz w:val="20"/>
              </w:rPr>
              <w:t xml:space="preserve">Section 2 </w:t>
            </w:r>
            <w:r>
              <w:rPr>
                <w:rFonts w:asciiTheme="minorHAnsi" w:hAnsiTheme="minorHAnsi" w:cstheme="minorHAnsi"/>
                <w:b/>
                <w:sz w:val="20"/>
              </w:rPr>
              <w:t>Consultation</w:t>
            </w:r>
            <w:r w:rsidRPr="009D27C3">
              <w:rPr>
                <w:rFonts w:asciiTheme="minorHAnsi" w:hAnsiTheme="minorHAnsi" w:cstheme="minorHAnsi"/>
                <w:b/>
                <w:sz w:val="20"/>
              </w:rPr>
              <w:t xml:space="preserve"> </w:t>
            </w:r>
          </w:p>
        </w:tc>
      </w:tr>
      <w:tr w:rsidR="003E317B" w:rsidRPr="00526DC5" w14:paraId="381783D8" w14:textId="77777777" w:rsidTr="003C6A83">
        <w:tc>
          <w:tcPr>
            <w:tcW w:w="680" w:type="pct"/>
          </w:tcPr>
          <w:p w14:paraId="04245DCC" w14:textId="77777777" w:rsidR="003E317B" w:rsidRPr="00526DC5" w:rsidRDefault="003E317B" w:rsidP="003C6A83">
            <w:pPr>
              <w:keepLines/>
              <w:spacing w:before="40" w:after="40"/>
              <w:jc w:val="left"/>
              <w:rPr>
                <w:rFonts w:asciiTheme="minorHAnsi" w:hAnsiTheme="minorHAnsi" w:cstheme="minorHAnsi"/>
                <w:sz w:val="20"/>
              </w:rPr>
            </w:pPr>
            <w:r w:rsidRPr="00B07C6D">
              <w:rPr>
                <w:rFonts w:asciiTheme="minorHAnsi" w:hAnsiTheme="minorHAnsi" w:cstheme="minorHAnsi"/>
                <w:sz w:val="20"/>
              </w:rPr>
              <w:t>Related course submission: UCMS &gt; Section 2 &gt; Consultation</w:t>
            </w:r>
          </w:p>
        </w:tc>
        <w:tc>
          <w:tcPr>
            <w:tcW w:w="1941" w:type="pct"/>
          </w:tcPr>
          <w:p w14:paraId="022F17CE"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B07C6D">
              <w:rPr>
                <w:rFonts w:asciiTheme="minorHAnsi" w:hAnsiTheme="minorHAnsi" w:cstheme="minorHAnsi"/>
                <w:sz w:val="20"/>
              </w:rPr>
              <w:t>Unit Design Team names, expertise and roles are documented and appropriate</w:t>
            </w:r>
          </w:p>
        </w:tc>
        <w:tc>
          <w:tcPr>
            <w:tcW w:w="291" w:type="pct"/>
          </w:tcPr>
          <w:p w14:paraId="63B0F241"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B07C6D">
              <w:rPr>
                <w:rFonts w:asciiTheme="minorHAnsi" w:hAnsiTheme="minorHAnsi" w:cstheme="minorHAnsi"/>
                <w:sz w:val="20"/>
              </w:rPr>
              <w:t>45, 46, 47</w:t>
            </w:r>
          </w:p>
        </w:tc>
        <w:tc>
          <w:tcPr>
            <w:tcW w:w="1408" w:type="pct"/>
          </w:tcPr>
          <w:p w14:paraId="164A9F34"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B07C6D">
              <w:rPr>
                <w:rFonts w:asciiTheme="minorHAnsi" w:hAnsiTheme="minorHAnsi" w:cstheme="minorHAnsi"/>
                <w:sz w:val="20"/>
              </w:rPr>
              <w:t>Description of course design team, expertise and roles</w:t>
            </w:r>
          </w:p>
        </w:tc>
        <w:tc>
          <w:tcPr>
            <w:tcW w:w="680" w:type="pct"/>
            <w:gridSpan w:val="2"/>
            <w:vAlign w:val="center"/>
          </w:tcPr>
          <w:p w14:paraId="47CA5479"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2C9D1BB6" w14:textId="77777777" w:rsidTr="003C6A83">
        <w:tc>
          <w:tcPr>
            <w:tcW w:w="680" w:type="pct"/>
          </w:tcPr>
          <w:p w14:paraId="7929BFCB" w14:textId="77777777" w:rsidR="003E317B" w:rsidRPr="00526DC5" w:rsidRDefault="003E317B" w:rsidP="003C6A83">
            <w:pPr>
              <w:keepLines/>
              <w:spacing w:before="40" w:after="40"/>
              <w:jc w:val="left"/>
              <w:rPr>
                <w:rFonts w:asciiTheme="minorHAnsi" w:hAnsiTheme="minorHAnsi" w:cstheme="minorHAnsi"/>
                <w:sz w:val="20"/>
              </w:rPr>
            </w:pPr>
            <w:r w:rsidRPr="00B07C6D">
              <w:rPr>
                <w:rFonts w:asciiTheme="minorHAnsi" w:hAnsiTheme="minorHAnsi" w:cstheme="minorHAnsi"/>
                <w:sz w:val="20"/>
              </w:rPr>
              <w:t>Related course submission: UCMS &gt; Section 2 &gt; Consultation</w:t>
            </w:r>
          </w:p>
        </w:tc>
        <w:tc>
          <w:tcPr>
            <w:tcW w:w="1941" w:type="pct"/>
          </w:tcPr>
          <w:p w14:paraId="51AFD624"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B07C6D">
              <w:rPr>
                <w:rFonts w:asciiTheme="minorHAnsi" w:hAnsiTheme="minorHAnsi" w:cstheme="minorHAnsi"/>
                <w:sz w:val="20"/>
              </w:rPr>
              <w:t>Consultation to ensure representative views of all relevant stakeholder groups, specifically including an appropriate Indigenous academic community member</w:t>
            </w:r>
          </w:p>
        </w:tc>
        <w:tc>
          <w:tcPr>
            <w:tcW w:w="291" w:type="pct"/>
          </w:tcPr>
          <w:p w14:paraId="61B7059B"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B07C6D">
              <w:rPr>
                <w:rFonts w:asciiTheme="minorHAnsi" w:hAnsiTheme="minorHAnsi" w:cstheme="minorHAnsi"/>
                <w:sz w:val="20"/>
              </w:rPr>
              <w:t>48</w:t>
            </w:r>
          </w:p>
        </w:tc>
        <w:tc>
          <w:tcPr>
            <w:tcW w:w="1408" w:type="pct"/>
          </w:tcPr>
          <w:p w14:paraId="455F060B"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B07C6D">
              <w:rPr>
                <w:rFonts w:asciiTheme="minorHAnsi" w:hAnsiTheme="minorHAnsi" w:cstheme="minorHAnsi"/>
                <w:sz w:val="20"/>
              </w:rPr>
              <w:t>Description of consultation</w:t>
            </w:r>
          </w:p>
        </w:tc>
        <w:tc>
          <w:tcPr>
            <w:tcW w:w="680" w:type="pct"/>
            <w:gridSpan w:val="2"/>
            <w:vAlign w:val="center"/>
          </w:tcPr>
          <w:p w14:paraId="69779BB3"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B22E81" w14:paraId="1690FFB7" w14:textId="77777777" w:rsidTr="003C6A83">
        <w:tc>
          <w:tcPr>
            <w:tcW w:w="5000" w:type="pct"/>
            <w:gridSpan w:val="6"/>
            <w:shd w:val="clear" w:color="auto" w:fill="D9E2F3" w:themeFill="accent1" w:themeFillTint="33"/>
          </w:tcPr>
          <w:p w14:paraId="223CEE5C" w14:textId="77777777" w:rsidR="003E317B" w:rsidRPr="009D27C3" w:rsidRDefault="003E317B" w:rsidP="003C6A83">
            <w:pPr>
              <w:keepNext/>
              <w:keepLines/>
              <w:autoSpaceDE w:val="0"/>
              <w:autoSpaceDN w:val="0"/>
              <w:adjustRightInd w:val="0"/>
              <w:spacing w:before="40" w:after="40"/>
              <w:jc w:val="center"/>
              <w:rPr>
                <w:rFonts w:asciiTheme="minorHAnsi" w:hAnsiTheme="minorHAnsi" w:cstheme="minorHAnsi"/>
                <w:b/>
                <w:sz w:val="20"/>
              </w:rPr>
            </w:pPr>
            <w:r w:rsidRPr="009D27C3">
              <w:rPr>
                <w:rFonts w:asciiTheme="minorHAnsi" w:hAnsiTheme="minorHAnsi" w:cstheme="minorHAnsi"/>
                <w:b/>
                <w:sz w:val="20"/>
              </w:rPr>
              <w:t xml:space="preserve">Section 2 </w:t>
            </w:r>
            <w:r>
              <w:rPr>
                <w:rFonts w:asciiTheme="minorHAnsi" w:hAnsiTheme="minorHAnsi" w:cstheme="minorHAnsi"/>
                <w:b/>
                <w:sz w:val="20"/>
              </w:rPr>
              <w:t>Requisites</w:t>
            </w:r>
            <w:r w:rsidRPr="009D27C3">
              <w:rPr>
                <w:rFonts w:asciiTheme="minorHAnsi" w:hAnsiTheme="minorHAnsi" w:cstheme="minorHAnsi"/>
                <w:b/>
                <w:sz w:val="20"/>
              </w:rPr>
              <w:t xml:space="preserve"> </w:t>
            </w:r>
          </w:p>
        </w:tc>
      </w:tr>
      <w:tr w:rsidR="003E317B" w:rsidRPr="00526DC5" w14:paraId="43F66502" w14:textId="77777777" w:rsidTr="003C6A83">
        <w:tc>
          <w:tcPr>
            <w:tcW w:w="680" w:type="pct"/>
          </w:tcPr>
          <w:p w14:paraId="53AEBD1C"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2 &gt; Requisites</w:t>
            </w:r>
          </w:p>
        </w:tc>
        <w:tc>
          <w:tcPr>
            <w:tcW w:w="1941" w:type="pct"/>
          </w:tcPr>
          <w:p w14:paraId="7199CCC3"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There is no more than one pre-requisite, co-requisite or other enrolment restriction requirement (except in exceptional circumstances), and it is directly demonstrated that the pre-requisites, co-requisites or enrolment restriction is needed because:</w:t>
            </w:r>
            <w:r>
              <w:rPr>
                <w:rFonts w:asciiTheme="minorHAnsi" w:hAnsiTheme="minorHAnsi" w:cstheme="minorHAnsi"/>
                <w:sz w:val="20"/>
              </w:rPr>
              <w:t xml:space="preserve"> </w:t>
            </w:r>
            <w:r w:rsidRPr="00526DC5">
              <w:rPr>
                <w:rFonts w:asciiTheme="minorHAnsi" w:hAnsiTheme="minorHAnsi" w:cstheme="minorHAnsi"/>
                <w:sz w:val="20"/>
              </w:rPr>
              <w:t xml:space="preserve"> the absence of an enrolment restriction would put individuals, the public, or the student at risk of harm; or</w:t>
            </w:r>
            <w:r>
              <w:rPr>
                <w:rFonts w:asciiTheme="minorHAnsi" w:hAnsiTheme="minorHAnsi" w:cstheme="minorHAnsi"/>
                <w:sz w:val="20"/>
              </w:rPr>
              <w:t xml:space="preserve"> </w:t>
            </w:r>
            <w:r w:rsidRPr="00526DC5">
              <w:rPr>
                <w:rFonts w:asciiTheme="minorHAnsi" w:hAnsiTheme="minorHAnsi" w:cstheme="minorHAnsi"/>
                <w:sz w:val="20"/>
              </w:rPr>
              <w:t xml:space="preserve"> there is a genuine and non-negotiable constraint on the maximum number of students who can be successfully taught in the unit; or</w:t>
            </w:r>
            <w:r>
              <w:rPr>
                <w:rFonts w:asciiTheme="minorHAnsi" w:hAnsiTheme="minorHAnsi" w:cstheme="minorHAnsi"/>
                <w:sz w:val="20"/>
              </w:rPr>
              <w:t xml:space="preserve"> </w:t>
            </w:r>
            <w:r w:rsidRPr="00526DC5">
              <w:rPr>
                <w:rFonts w:asciiTheme="minorHAnsi" w:hAnsiTheme="minorHAnsi" w:cstheme="minorHAnsi"/>
                <w:sz w:val="20"/>
              </w:rPr>
              <w:t>it would be unreasonable to allow students to enrol without mandatory prior preparation or study because they would almost certainly be unable to successfully complete the unit; or the absence of an enrolment restriction would make it impossible to meet external accreditation requirements</w:t>
            </w:r>
          </w:p>
        </w:tc>
        <w:tc>
          <w:tcPr>
            <w:tcW w:w="291" w:type="pct"/>
          </w:tcPr>
          <w:p w14:paraId="34513CC4"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 xml:space="preserve">59, </w:t>
            </w:r>
            <w:r>
              <w:rPr>
                <w:rFonts w:asciiTheme="minorHAnsi" w:hAnsiTheme="minorHAnsi" w:cstheme="minorHAnsi"/>
                <w:sz w:val="20"/>
              </w:rPr>
              <w:br/>
            </w:r>
            <w:r w:rsidRPr="00526DC5">
              <w:rPr>
                <w:rFonts w:asciiTheme="minorHAnsi" w:hAnsiTheme="minorHAnsi" w:cstheme="minorHAnsi"/>
                <w:sz w:val="20"/>
              </w:rPr>
              <w:t xml:space="preserve">60, </w:t>
            </w:r>
            <w:r>
              <w:rPr>
                <w:rFonts w:asciiTheme="minorHAnsi" w:hAnsiTheme="minorHAnsi" w:cstheme="minorHAnsi"/>
                <w:sz w:val="20"/>
              </w:rPr>
              <w:br/>
            </w:r>
            <w:r w:rsidRPr="00526DC5">
              <w:rPr>
                <w:rFonts w:asciiTheme="minorHAnsi" w:hAnsiTheme="minorHAnsi" w:cstheme="minorHAnsi"/>
                <w:sz w:val="20"/>
              </w:rPr>
              <w:t>61</w:t>
            </w:r>
          </w:p>
        </w:tc>
        <w:tc>
          <w:tcPr>
            <w:tcW w:w="1408" w:type="pct"/>
          </w:tcPr>
          <w:p w14:paraId="2B9502A5"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Either no requisites, or at most one requisite with a detailed justification of why that requisite is needed with respect to the criteria outlined</w:t>
            </w:r>
          </w:p>
        </w:tc>
        <w:tc>
          <w:tcPr>
            <w:tcW w:w="680" w:type="pct"/>
            <w:gridSpan w:val="2"/>
            <w:vAlign w:val="center"/>
          </w:tcPr>
          <w:p w14:paraId="0E934CCF"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B22E81" w14:paraId="04C9EDE0" w14:textId="77777777" w:rsidTr="003C6A83">
        <w:tc>
          <w:tcPr>
            <w:tcW w:w="5000" w:type="pct"/>
            <w:gridSpan w:val="6"/>
            <w:shd w:val="clear" w:color="auto" w:fill="D9E2F3" w:themeFill="accent1" w:themeFillTint="33"/>
          </w:tcPr>
          <w:p w14:paraId="5E8DE653" w14:textId="77777777" w:rsidR="003E317B" w:rsidRPr="009D27C3" w:rsidRDefault="003E317B" w:rsidP="003C6A83">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Section 3 Learning Outcomes</w:t>
            </w:r>
          </w:p>
        </w:tc>
      </w:tr>
      <w:tr w:rsidR="003E317B" w:rsidRPr="00526DC5" w14:paraId="2760795E" w14:textId="77777777" w:rsidTr="003C6A83">
        <w:tc>
          <w:tcPr>
            <w:tcW w:w="680" w:type="pct"/>
          </w:tcPr>
          <w:p w14:paraId="51B7572E"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3 &gt; Content &gt; Learning Outcomes</w:t>
            </w:r>
          </w:p>
        </w:tc>
        <w:tc>
          <w:tcPr>
            <w:tcW w:w="1941" w:type="pct"/>
          </w:tcPr>
          <w:p w14:paraId="01987162"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has no more than four Learning Outcomes</w:t>
            </w:r>
          </w:p>
        </w:tc>
        <w:tc>
          <w:tcPr>
            <w:tcW w:w="291" w:type="pct"/>
          </w:tcPr>
          <w:p w14:paraId="50425EC5"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51</w:t>
            </w:r>
          </w:p>
        </w:tc>
        <w:tc>
          <w:tcPr>
            <w:tcW w:w="1408" w:type="pct"/>
          </w:tcPr>
          <w:p w14:paraId="1D3A7ED1"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w:t>
            </w:r>
          </w:p>
        </w:tc>
        <w:tc>
          <w:tcPr>
            <w:tcW w:w="680" w:type="pct"/>
            <w:gridSpan w:val="2"/>
            <w:vAlign w:val="center"/>
          </w:tcPr>
          <w:p w14:paraId="681FCF4C"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25FFC5DC" w14:textId="77777777" w:rsidTr="003C6A83">
        <w:tc>
          <w:tcPr>
            <w:tcW w:w="680" w:type="pct"/>
          </w:tcPr>
          <w:p w14:paraId="3B1CCE0F"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3 &gt; Content &gt; Learning Outcomes</w:t>
            </w:r>
          </w:p>
        </w:tc>
        <w:tc>
          <w:tcPr>
            <w:tcW w:w="1941" w:type="pct"/>
          </w:tcPr>
          <w:p w14:paraId="5B19F728"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 align with the unit aim</w:t>
            </w:r>
          </w:p>
        </w:tc>
        <w:tc>
          <w:tcPr>
            <w:tcW w:w="291" w:type="pct"/>
          </w:tcPr>
          <w:p w14:paraId="0E2B8DFB"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52a</w:t>
            </w:r>
          </w:p>
        </w:tc>
        <w:tc>
          <w:tcPr>
            <w:tcW w:w="1408" w:type="pct"/>
          </w:tcPr>
          <w:p w14:paraId="37F27E7F"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w:t>
            </w:r>
          </w:p>
        </w:tc>
        <w:tc>
          <w:tcPr>
            <w:tcW w:w="680" w:type="pct"/>
            <w:gridSpan w:val="2"/>
            <w:vAlign w:val="center"/>
          </w:tcPr>
          <w:p w14:paraId="6CEB9D55"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66692FD5" w14:textId="77777777" w:rsidTr="003C6A83">
        <w:tc>
          <w:tcPr>
            <w:tcW w:w="680" w:type="pct"/>
          </w:tcPr>
          <w:p w14:paraId="605645B0"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3 &gt; Content &gt; Learning Outcomes</w:t>
            </w:r>
          </w:p>
        </w:tc>
        <w:tc>
          <w:tcPr>
            <w:tcW w:w="1941" w:type="pct"/>
          </w:tcPr>
          <w:p w14:paraId="68BC56B0"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 are achievable and assessable</w:t>
            </w:r>
          </w:p>
        </w:tc>
        <w:tc>
          <w:tcPr>
            <w:tcW w:w="291" w:type="pct"/>
          </w:tcPr>
          <w:p w14:paraId="1C569168"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52b</w:t>
            </w:r>
          </w:p>
        </w:tc>
        <w:tc>
          <w:tcPr>
            <w:tcW w:w="1408" w:type="pct"/>
          </w:tcPr>
          <w:p w14:paraId="4014F2BC"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w:t>
            </w:r>
          </w:p>
        </w:tc>
        <w:tc>
          <w:tcPr>
            <w:tcW w:w="680" w:type="pct"/>
            <w:gridSpan w:val="2"/>
            <w:vAlign w:val="center"/>
          </w:tcPr>
          <w:p w14:paraId="7EB0F9B9"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B22E81" w14:paraId="42441DFB" w14:textId="77777777" w:rsidTr="003C6A83">
        <w:tc>
          <w:tcPr>
            <w:tcW w:w="5000" w:type="pct"/>
            <w:gridSpan w:val="6"/>
            <w:tcBorders>
              <w:bottom w:val="single" w:sz="4" w:space="0" w:color="auto"/>
            </w:tcBorders>
            <w:shd w:val="clear" w:color="auto" w:fill="D9E2F3" w:themeFill="accent1" w:themeFillTint="33"/>
          </w:tcPr>
          <w:p w14:paraId="6C5CE182" w14:textId="77777777" w:rsidR="003E317B" w:rsidRPr="00B22E81" w:rsidRDefault="003E317B" w:rsidP="003C6A83">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Section 6 Assessment</w:t>
            </w:r>
          </w:p>
        </w:tc>
      </w:tr>
      <w:tr w:rsidR="003E317B" w:rsidRPr="00526DC5" w14:paraId="52F1E42B" w14:textId="77777777" w:rsidTr="003C6A83">
        <w:tc>
          <w:tcPr>
            <w:tcW w:w="680" w:type="pct"/>
            <w:tcBorders>
              <w:bottom w:val="single" w:sz="4" w:space="0" w:color="auto"/>
            </w:tcBorders>
          </w:tcPr>
          <w:p w14:paraId="4A3EF36F"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6 &gt; Assessment</w:t>
            </w:r>
          </w:p>
        </w:tc>
        <w:tc>
          <w:tcPr>
            <w:tcW w:w="1941" w:type="pct"/>
            <w:tcBorders>
              <w:bottom w:val="single" w:sz="4" w:space="0" w:color="auto"/>
            </w:tcBorders>
          </w:tcPr>
          <w:p w14:paraId="6C0DCD93"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All assessment tasks comply with the </w:t>
            </w:r>
            <w:hyperlink r:id="rId12" w:tgtFrame="_blank" w:history="1">
              <w:r w:rsidRPr="00526DC5">
                <w:rPr>
                  <w:rStyle w:val="Hyperlink"/>
                  <w:rFonts w:asciiTheme="minorHAnsi" w:hAnsiTheme="minorHAnsi" w:cstheme="minorHAnsi"/>
                  <w:sz w:val="20"/>
                </w:rPr>
                <w:t>Assessment Policy</w:t>
              </w:r>
            </w:hyperlink>
            <w:r w:rsidRPr="00526DC5">
              <w:rPr>
                <w:rFonts w:asciiTheme="minorHAnsi" w:hAnsiTheme="minorHAnsi" w:cstheme="minorHAnsi"/>
                <w:sz w:val="20"/>
              </w:rPr>
              <w:t> and </w:t>
            </w:r>
            <w:hyperlink r:id="rId13" w:tgtFrame="_blank" w:history="1">
              <w:r w:rsidRPr="00526DC5">
                <w:rPr>
                  <w:rStyle w:val="Hyperlink"/>
                  <w:rFonts w:asciiTheme="minorHAnsi" w:hAnsiTheme="minorHAnsi" w:cstheme="minorHAnsi"/>
                  <w:sz w:val="20"/>
                </w:rPr>
                <w:t>Assessment Procedures</w:t>
              </w:r>
            </w:hyperlink>
          </w:p>
        </w:tc>
        <w:tc>
          <w:tcPr>
            <w:tcW w:w="291" w:type="pct"/>
            <w:tcBorders>
              <w:bottom w:val="single" w:sz="4" w:space="0" w:color="auto"/>
            </w:tcBorders>
          </w:tcPr>
          <w:p w14:paraId="689481F4"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67</w:t>
            </w:r>
          </w:p>
        </w:tc>
        <w:tc>
          <w:tcPr>
            <w:tcW w:w="1408" w:type="pct"/>
            <w:tcBorders>
              <w:bottom w:val="single" w:sz="4" w:space="0" w:color="auto"/>
            </w:tcBorders>
          </w:tcPr>
          <w:p w14:paraId="244A49BB"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Details of assessment tasks</w:t>
            </w:r>
          </w:p>
        </w:tc>
        <w:tc>
          <w:tcPr>
            <w:tcW w:w="680" w:type="pct"/>
            <w:gridSpan w:val="2"/>
            <w:tcBorders>
              <w:bottom w:val="single" w:sz="4" w:space="0" w:color="auto"/>
            </w:tcBorders>
            <w:vAlign w:val="center"/>
          </w:tcPr>
          <w:p w14:paraId="50FB477A"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06B76EB8" w14:textId="77777777" w:rsidTr="003C6A83">
        <w:tc>
          <w:tcPr>
            <w:tcW w:w="680" w:type="pct"/>
            <w:vMerge w:val="restart"/>
          </w:tcPr>
          <w:p w14:paraId="24CB1F16"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6 &gt; Assessment</w:t>
            </w:r>
            <w:r>
              <w:rPr>
                <w:rFonts w:asciiTheme="minorHAnsi" w:hAnsiTheme="minorHAnsi" w:cstheme="minorHAnsi"/>
                <w:sz w:val="20"/>
              </w:rPr>
              <w:t xml:space="preserve">&gt;Additional Assessment </w:t>
            </w:r>
          </w:p>
        </w:tc>
        <w:tc>
          <w:tcPr>
            <w:tcW w:w="1941" w:type="pct"/>
            <w:tcBorders>
              <w:bottom w:val="single" w:sz="4" w:space="0" w:color="auto"/>
            </w:tcBorders>
          </w:tcPr>
          <w:p w14:paraId="1F746430"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Teaching methods, learning resources and learning activities directly contribute to achievement of one or more of the Unit Learning Outcomes</w:t>
            </w:r>
          </w:p>
        </w:tc>
        <w:tc>
          <w:tcPr>
            <w:tcW w:w="291" w:type="pct"/>
            <w:tcBorders>
              <w:bottom w:val="single" w:sz="4" w:space="0" w:color="auto"/>
            </w:tcBorders>
          </w:tcPr>
          <w:p w14:paraId="4F344D11"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56</w:t>
            </w:r>
          </w:p>
        </w:tc>
        <w:tc>
          <w:tcPr>
            <w:tcW w:w="1408" w:type="pct"/>
            <w:tcBorders>
              <w:bottom w:val="single" w:sz="4" w:space="0" w:color="auto"/>
            </w:tcBorders>
          </w:tcPr>
          <w:p w14:paraId="247D77E5"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Compliance should be explicitly noted in the additional assessment section </w:t>
            </w:r>
          </w:p>
        </w:tc>
        <w:tc>
          <w:tcPr>
            <w:tcW w:w="680" w:type="pct"/>
            <w:gridSpan w:val="2"/>
            <w:tcBorders>
              <w:bottom w:val="single" w:sz="4" w:space="0" w:color="auto"/>
            </w:tcBorders>
            <w:vAlign w:val="center"/>
          </w:tcPr>
          <w:p w14:paraId="7C6D432F"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0E532DBB" w14:textId="77777777" w:rsidTr="003C6A83">
        <w:tc>
          <w:tcPr>
            <w:tcW w:w="680" w:type="pct"/>
            <w:vMerge/>
          </w:tcPr>
          <w:p w14:paraId="461F3A12"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3703AB57"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Teaching methods, learning resources and learning activities provide students with equivalent opportunities to achieve the intended learning outcomes irrespective of their study location or mode of participation</w:t>
            </w:r>
          </w:p>
        </w:tc>
        <w:tc>
          <w:tcPr>
            <w:tcW w:w="291" w:type="pct"/>
            <w:tcBorders>
              <w:bottom w:val="single" w:sz="4" w:space="0" w:color="auto"/>
            </w:tcBorders>
          </w:tcPr>
          <w:p w14:paraId="22D10A8A"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57</w:t>
            </w:r>
          </w:p>
        </w:tc>
        <w:tc>
          <w:tcPr>
            <w:tcW w:w="1408" w:type="pct"/>
            <w:tcBorders>
              <w:bottom w:val="single" w:sz="4" w:space="0" w:color="auto"/>
            </w:tcBorders>
          </w:tcPr>
          <w:p w14:paraId="488E131E"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Compliance should be explicitly noted in the additional assessment section </w:t>
            </w:r>
          </w:p>
        </w:tc>
        <w:tc>
          <w:tcPr>
            <w:tcW w:w="680" w:type="pct"/>
            <w:gridSpan w:val="2"/>
            <w:tcBorders>
              <w:bottom w:val="single" w:sz="4" w:space="0" w:color="auto"/>
            </w:tcBorders>
            <w:vAlign w:val="center"/>
          </w:tcPr>
          <w:p w14:paraId="0D804E94"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3AC079AF" w14:textId="77777777" w:rsidTr="003C6A83">
        <w:tc>
          <w:tcPr>
            <w:tcW w:w="680" w:type="pct"/>
            <w:vMerge/>
          </w:tcPr>
          <w:p w14:paraId="280E079F"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3D472A71"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Teaching methods, learning resources and learning activities meet the learning needs of all students, including Indigenous Australians, international students regardless of cultural background, mature age students, school leavers, students with disabilities and students who are the first in their family to study at university</w:t>
            </w:r>
          </w:p>
        </w:tc>
        <w:tc>
          <w:tcPr>
            <w:tcW w:w="291" w:type="pct"/>
            <w:tcBorders>
              <w:bottom w:val="single" w:sz="4" w:space="0" w:color="auto"/>
            </w:tcBorders>
          </w:tcPr>
          <w:p w14:paraId="6E33F60F"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58</w:t>
            </w:r>
          </w:p>
        </w:tc>
        <w:tc>
          <w:tcPr>
            <w:tcW w:w="1408" w:type="pct"/>
            <w:tcBorders>
              <w:bottom w:val="single" w:sz="4" w:space="0" w:color="auto"/>
            </w:tcBorders>
          </w:tcPr>
          <w:p w14:paraId="5A738274"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Compliance should be explicitly noted in the additional assessment section </w:t>
            </w:r>
          </w:p>
        </w:tc>
        <w:tc>
          <w:tcPr>
            <w:tcW w:w="680" w:type="pct"/>
            <w:gridSpan w:val="2"/>
            <w:tcBorders>
              <w:bottom w:val="single" w:sz="4" w:space="0" w:color="auto"/>
            </w:tcBorders>
            <w:vAlign w:val="center"/>
          </w:tcPr>
          <w:p w14:paraId="1C60704A"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5A1AF9D7" w14:textId="77777777" w:rsidTr="003C6A83">
        <w:tc>
          <w:tcPr>
            <w:tcW w:w="680" w:type="pct"/>
            <w:vMerge/>
            <w:tcBorders>
              <w:bottom w:val="single" w:sz="4" w:space="0" w:color="auto"/>
            </w:tcBorders>
          </w:tcPr>
          <w:p w14:paraId="05090E43"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4774D218"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391413">
              <w:rPr>
                <w:rFonts w:asciiTheme="minorHAnsi" w:hAnsiTheme="minorHAnsi" w:cstheme="minorHAnsi"/>
                <w:sz w:val="20"/>
              </w:rPr>
              <w:t>No similar existing units within the University could be used to fulfil the same intended purpose</w:t>
            </w:r>
          </w:p>
        </w:tc>
        <w:tc>
          <w:tcPr>
            <w:tcW w:w="291" w:type="pct"/>
            <w:tcBorders>
              <w:bottom w:val="single" w:sz="4" w:space="0" w:color="auto"/>
            </w:tcBorders>
          </w:tcPr>
          <w:p w14:paraId="67ACAD92"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391413">
              <w:rPr>
                <w:rFonts w:asciiTheme="minorHAnsi" w:hAnsiTheme="minorHAnsi" w:cstheme="minorHAnsi"/>
                <w:sz w:val="20"/>
              </w:rPr>
              <w:t>44</w:t>
            </w:r>
          </w:p>
        </w:tc>
        <w:tc>
          <w:tcPr>
            <w:tcW w:w="1408" w:type="pct"/>
            <w:tcBorders>
              <w:bottom w:val="single" w:sz="4" w:space="0" w:color="auto"/>
            </w:tcBorders>
          </w:tcPr>
          <w:p w14:paraId="668BA57C"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Compliance should be explicitly noted in the additional assessment section </w:t>
            </w:r>
          </w:p>
        </w:tc>
        <w:tc>
          <w:tcPr>
            <w:tcW w:w="680" w:type="pct"/>
            <w:gridSpan w:val="2"/>
            <w:tcBorders>
              <w:bottom w:val="single" w:sz="4" w:space="0" w:color="auto"/>
            </w:tcBorders>
            <w:vAlign w:val="center"/>
          </w:tcPr>
          <w:p w14:paraId="16587205"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B22E81" w14:paraId="1B0D441B" w14:textId="77777777" w:rsidTr="003C6A83">
        <w:tc>
          <w:tcPr>
            <w:tcW w:w="5000" w:type="pct"/>
            <w:gridSpan w:val="6"/>
            <w:tcBorders>
              <w:bottom w:val="single" w:sz="4" w:space="0" w:color="auto"/>
            </w:tcBorders>
            <w:shd w:val="clear" w:color="auto" w:fill="D9E2F3" w:themeFill="accent1" w:themeFillTint="33"/>
          </w:tcPr>
          <w:p w14:paraId="57EF86A5" w14:textId="77777777" w:rsidR="003E317B" w:rsidRPr="009D27C3" w:rsidRDefault="003E317B" w:rsidP="003C6A83">
            <w:pPr>
              <w:keepNext/>
              <w:keepLines/>
              <w:autoSpaceDE w:val="0"/>
              <w:autoSpaceDN w:val="0"/>
              <w:adjustRightInd w:val="0"/>
              <w:spacing w:before="40" w:after="40"/>
              <w:jc w:val="center"/>
              <w:rPr>
                <w:rFonts w:asciiTheme="minorHAnsi" w:hAnsiTheme="minorHAnsi" w:cstheme="minorHAnsi"/>
                <w:b/>
                <w:sz w:val="20"/>
              </w:rPr>
            </w:pPr>
            <w:r>
              <w:rPr>
                <w:rFonts w:asciiTheme="minorHAnsi" w:hAnsiTheme="minorHAnsi" w:cstheme="minorHAnsi"/>
                <w:b/>
                <w:sz w:val="20"/>
              </w:rPr>
              <w:t>Generally</w:t>
            </w:r>
            <w:r w:rsidRPr="009D27C3">
              <w:rPr>
                <w:rFonts w:asciiTheme="minorHAnsi" w:hAnsiTheme="minorHAnsi" w:cstheme="minorHAnsi"/>
                <w:b/>
                <w:sz w:val="20"/>
              </w:rPr>
              <w:t xml:space="preserve"> </w:t>
            </w:r>
          </w:p>
        </w:tc>
      </w:tr>
      <w:tr w:rsidR="003E317B" w:rsidRPr="00526DC5" w14:paraId="2AA9B6F1" w14:textId="77777777" w:rsidTr="003C6A83">
        <w:tc>
          <w:tcPr>
            <w:tcW w:w="680" w:type="pct"/>
            <w:vMerge w:val="restart"/>
          </w:tcPr>
          <w:p w14:paraId="66FA8351"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338CAD84" w14:textId="77777777" w:rsidR="003E317B" w:rsidRPr="00391413" w:rsidRDefault="003E317B" w:rsidP="003C6A83">
            <w:pPr>
              <w:shd w:val="clear" w:color="auto" w:fill="FFFFFF"/>
              <w:spacing w:after="240"/>
              <w:jc w:val="left"/>
              <w:textAlignment w:val="baseline"/>
              <w:rPr>
                <w:rFonts w:asciiTheme="minorHAnsi" w:hAnsiTheme="minorHAnsi" w:cstheme="minorHAnsi"/>
                <w:sz w:val="20"/>
              </w:rPr>
            </w:pPr>
            <w:r w:rsidRPr="009D27C3">
              <w:rPr>
                <w:rFonts w:asciiTheme="minorHAnsi" w:eastAsia="Times New Roman" w:hAnsiTheme="minorHAnsi" w:cstheme="minorHAnsi"/>
                <w:color w:val="000000"/>
                <w:sz w:val="20"/>
                <w:szCs w:val="20"/>
                <w:lang w:eastAsia="en-AU"/>
              </w:rPr>
              <w:t>Courses and units will be designed to ensure that students have equivalent opportunities to achieve the intended learning outcomes irrespective of their study location or mode of participation.</w:t>
            </w:r>
          </w:p>
        </w:tc>
        <w:tc>
          <w:tcPr>
            <w:tcW w:w="291" w:type="pct"/>
            <w:tcBorders>
              <w:bottom w:val="single" w:sz="4" w:space="0" w:color="auto"/>
            </w:tcBorders>
          </w:tcPr>
          <w:p w14:paraId="36E97ACB" w14:textId="77777777" w:rsidR="003E317B" w:rsidRPr="00391413" w:rsidRDefault="003E317B" w:rsidP="003C6A83">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33</w:t>
            </w:r>
          </w:p>
        </w:tc>
        <w:tc>
          <w:tcPr>
            <w:tcW w:w="1408" w:type="pct"/>
            <w:vMerge w:val="restart"/>
          </w:tcPr>
          <w:p w14:paraId="36188F6B"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All sections that are relevant to the unit need to be completed</w:t>
            </w:r>
          </w:p>
          <w:p w14:paraId="6742D542"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p>
          <w:p w14:paraId="09FC3992"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If delivery includes external, internal and/or an education partner, confirmation that the learning resources will be accessible to all students despite delivery </w:t>
            </w:r>
          </w:p>
        </w:tc>
        <w:tc>
          <w:tcPr>
            <w:tcW w:w="680" w:type="pct"/>
            <w:gridSpan w:val="2"/>
            <w:vMerge w:val="restart"/>
            <w:vAlign w:val="center"/>
          </w:tcPr>
          <w:p w14:paraId="2C393B6E"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3AC49E73" w14:textId="77777777" w:rsidTr="003C6A83">
        <w:tc>
          <w:tcPr>
            <w:tcW w:w="680" w:type="pct"/>
            <w:vMerge/>
          </w:tcPr>
          <w:p w14:paraId="4BDBF612"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507BE50F" w14:textId="77777777" w:rsidR="003E317B" w:rsidRDefault="003E317B" w:rsidP="003C6A83">
            <w:pPr>
              <w:shd w:val="clear" w:color="auto" w:fill="FFFFFF"/>
              <w:spacing w:after="0"/>
              <w:jc w:val="left"/>
              <w:textAlignment w:val="baseline"/>
              <w:rPr>
                <w:rFonts w:ascii="Calibri" w:eastAsia="Times New Roman" w:hAnsi="Calibri" w:cs="Calibri"/>
                <w:color w:val="000000"/>
                <w:sz w:val="20"/>
                <w:szCs w:val="20"/>
                <w:lang w:eastAsia="en-AU"/>
              </w:rPr>
            </w:pPr>
            <w:r w:rsidRPr="00C63A36">
              <w:rPr>
                <w:rFonts w:ascii="Calibri" w:eastAsia="Times New Roman" w:hAnsi="Calibri" w:cs="Calibri"/>
                <w:color w:val="000000"/>
                <w:sz w:val="20"/>
                <w:szCs w:val="20"/>
                <w:lang w:eastAsia="en-AU"/>
              </w:rPr>
              <w:t>The structure and content of units will be consistent with the educational approach of the course(s) for which they are designed.</w:t>
            </w:r>
          </w:p>
          <w:p w14:paraId="3C0F4618" w14:textId="77777777" w:rsidR="003E317B" w:rsidRPr="00907152" w:rsidRDefault="007E3012" w:rsidP="003C6A83">
            <w:pPr>
              <w:shd w:val="clear" w:color="auto" w:fill="FFFFFF"/>
              <w:spacing w:after="0"/>
              <w:jc w:val="left"/>
              <w:textAlignment w:val="baseline"/>
              <w:rPr>
                <w:rFonts w:asciiTheme="minorHAnsi" w:eastAsia="Times New Roman" w:hAnsiTheme="minorHAnsi" w:cstheme="minorHAnsi"/>
                <w:color w:val="000000"/>
                <w:sz w:val="20"/>
                <w:szCs w:val="20"/>
                <w:lang w:eastAsia="en-AU"/>
              </w:rPr>
            </w:pPr>
            <w:hyperlink r:id="rId14" w:history="1">
              <w:r w:rsidR="003E317B">
                <w:rPr>
                  <w:rStyle w:val="Hyperlink"/>
                  <w:rFonts w:asciiTheme="minorHAnsi" w:eastAsia="Times New Roman" w:hAnsiTheme="minorHAnsi" w:cstheme="minorHAnsi"/>
                  <w:sz w:val="20"/>
                  <w:szCs w:val="20"/>
                  <w:lang w:eastAsia="en-AU"/>
                </w:rPr>
                <w:t>CURRICULUM DESIGN AND DEVELOPMENT PROCEDURES</w:t>
              </w:r>
            </w:hyperlink>
            <w:r w:rsidR="003E317B">
              <w:rPr>
                <w:rFonts w:asciiTheme="minorHAnsi" w:eastAsia="Times New Roman" w:hAnsiTheme="minorHAnsi" w:cstheme="minorHAnsi"/>
                <w:color w:val="000000"/>
                <w:sz w:val="20"/>
                <w:szCs w:val="20"/>
                <w:lang w:eastAsia="en-AU"/>
              </w:rPr>
              <w:t xml:space="preserve"> </w:t>
            </w:r>
          </w:p>
        </w:tc>
        <w:tc>
          <w:tcPr>
            <w:tcW w:w="291" w:type="pct"/>
            <w:tcBorders>
              <w:bottom w:val="single" w:sz="4" w:space="0" w:color="auto"/>
            </w:tcBorders>
          </w:tcPr>
          <w:p w14:paraId="3100D1CC" w14:textId="77777777" w:rsidR="003E317B" w:rsidRDefault="003E317B" w:rsidP="003C6A83">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55</w:t>
            </w:r>
          </w:p>
        </w:tc>
        <w:tc>
          <w:tcPr>
            <w:tcW w:w="1408" w:type="pct"/>
            <w:vMerge/>
          </w:tcPr>
          <w:p w14:paraId="077D591A"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p>
        </w:tc>
        <w:tc>
          <w:tcPr>
            <w:tcW w:w="680" w:type="pct"/>
            <w:gridSpan w:val="2"/>
            <w:vMerge/>
            <w:vAlign w:val="center"/>
          </w:tcPr>
          <w:p w14:paraId="6ECFF3B0"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3987D741" w14:textId="77777777" w:rsidTr="003C6A83">
        <w:tc>
          <w:tcPr>
            <w:tcW w:w="680" w:type="pct"/>
            <w:vMerge/>
          </w:tcPr>
          <w:p w14:paraId="23FF70D4"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199840B2" w14:textId="77777777" w:rsidR="003E317B" w:rsidRPr="00907152" w:rsidRDefault="003E317B" w:rsidP="003C6A83">
            <w:pPr>
              <w:shd w:val="clear" w:color="auto" w:fill="FFFFFF"/>
              <w:spacing w:after="0"/>
              <w:jc w:val="left"/>
              <w:textAlignment w:val="baseline"/>
              <w:rPr>
                <w:rFonts w:asciiTheme="minorHAnsi" w:eastAsia="Times New Roman" w:hAnsiTheme="minorHAnsi" w:cstheme="minorHAnsi"/>
                <w:color w:val="000000"/>
                <w:sz w:val="20"/>
                <w:szCs w:val="20"/>
                <w:lang w:eastAsia="en-AU"/>
              </w:rPr>
            </w:pPr>
            <w:r w:rsidRPr="006A6046">
              <w:rPr>
                <w:rFonts w:ascii="Calibri" w:eastAsia="Times New Roman" w:hAnsi="Calibri" w:cs="Calibri"/>
                <w:color w:val="000000"/>
                <w:sz w:val="20"/>
                <w:szCs w:val="20"/>
                <w:lang w:eastAsia="en-AU"/>
              </w:rPr>
              <w:t>All teaching methods, learning resources and learning activities will directly and demonstrably contribute to achievement of one or more of the Unit Learning Outcomes.</w:t>
            </w:r>
            <w:r>
              <w:rPr>
                <w:rFonts w:ascii="Calibri" w:eastAsia="Times New Roman" w:hAnsi="Calibri" w:cs="Calibri"/>
                <w:color w:val="000000"/>
                <w:sz w:val="20"/>
                <w:szCs w:val="20"/>
                <w:lang w:eastAsia="en-AU"/>
              </w:rPr>
              <w:t xml:space="preserve"> </w:t>
            </w:r>
            <w:hyperlink r:id="rId15" w:history="1">
              <w:r>
                <w:rPr>
                  <w:rStyle w:val="Hyperlink"/>
                  <w:rFonts w:asciiTheme="minorHAnsi" w:eastAsia="Times New Roman" w:hAnsiTheme="minorHAnsi" w:cstheme="minorHAnsi"/>
                  <w:sz w:val="20"/>
                  <w:szCs w:val="20"/>
                  <w:lang w:eastAsia="en-AU"/>
                </w:rPr>
                <w:t>CURRICULUM DESIGN AND DEVELOPMENT PROCEDURES</w:t>
              </w:r>
            </w:hyperlink>
          </w:p>
        </w:tc>
        <w:tc>
          <w:tcPr>
            <w:tcW w:w="291" w:type="pct"/>
            <w:tcBorders>
              <w:bottom w:val="single" w:sz="4" w:space="0" w:color="auto"/>
            </w:tcBorders>
          </w:tcPr>
          <w:p w14:paraId="00F6B1AD" w14:textId="77777777" w:rsidR="003E317B" w:rsidRDefault="003E317B" w:rsidP="003C6A83">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56</w:t>
            </w:r>
          </w:p>
        </w:tc>
        <w:tc>
          <w:tcPr>
            <w:tcW w:w="1408" w:type="pct"/>
            <w:vMerge/>
          </w:tcPr>
          <w:p w14:paraId="130AF87E"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p>
        </w:tc>
        <w:tc>
          <w:tcPr>
            <w:tcW w:w="680" w:type="pct"/>
            <w:gridSpan w:val="2"/>
            <w:vMerge/>
            <w:vAlign w:val="center"/>
          </w:tcPr>
          <w:p w14:paraId="26EBA78F"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2D5670E5" w14:textId="77777777" w:rsidTr="003C6A83">
        <w:tc>
          <w:tcPr>
            <w:tcW w:w="680" w:type="pct"/>
            <w:vMerge/>
          </w:tcPr>
          <w:p w14:paraId="2B59A095"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28724CB2" w14:textId="77777777" w:rsidR="003E317B" w:rsidRPr="009D27C3" w:rsidRDefault="003E317B" w:rsidP="003C6A83">
            <w:pPr>
              <w:shd w:val="clear" w:color="auto" w:fill="FFFFFF"/>
              <w:spacing w:after="0"/>
              <w:jc w:val="left"/>
              <w:textAlignment w:val="baseline"/>
              <w:rPr>
                <w:rFonts w:ascii="Calibri" w:eastAsia="Times New Roman" w:hAnsi="Calibri" w:cs="Calibri"/>
                <w:color w:val="000000"/>
                <w:sz w:val="20"/>
                <w:szCs w:val="20"/>
                <w:lang w:eastAsia="en-AU"/>
              </w:rPr>
            </w:pPr>
            <w:r w:rsidRPr="0017490C">
              <w:rPr>
                <w:rFonts w:ascii="Calibri" w:eastAsia="Times New Roman" w:hAnsi="Calibri" w:cs="Calibri"/>
                <w:color w:val="000000"/>
                <w:sz w:val="20"/>
                <w:szCs w:val="20"/>
                <w:lang w:eastAsia="en-AU"/>
              </w:rPr>
              <w:t>Teaching methods, learning resources and learning activities will demonstrably provide students with equivalent opportunities to achieve the intended learning outcomes irrespective of their study location or mode of participation.</w:t>
            </w:r>
            <w:r>
              <w:rPr>
                <w:rFonts w:ascii="Calibri" w:eastAsia="Times New Roman" w:hAnsi="Calibri" w:cs="Calibri"/>
                <w:color w:val="000000"/>
                <w:sz w:val="20"/>
                <w:szCs w:val="20"/>
                <w:lang w:eastAsia="en-AU"/>
              </w:rPr>
              <w:t xml:space="preserve"> </w:t>
            </w:r>
            <w:hyperlink r:id="rId16" w:history="1">
              <w:r>
                <w:rPr>
                  <w:rStyle w:val="Hyperlink"/>
                  <w:rFonts w:asciiTheme="minorHAnsi" w:eastAsia="Times New Roman" w:hAnsiTheme="minorHAnsi" w:cstheme="minorHAnsi"/>
                  <w:sz w:val="20"/>
                  <w:szCs w:val="20"/>
                  <w:lang w:eastAsia="en-AU"/>
                </w:rPr>
                <w:t>CURRICULUM DESIGN AND DEVELOPMENT PROCEDURES</w:t>
              </w:r>
            </w:hyperlink>
          </w:p>
        </w:tc>
        <w:tc>
          <w:tcPr>
            <w:tcW w:w="291" w:type="pct"/>
            <w:tcBorders>
              <w:bottom w:val="single" w:sz="4" w:space="0" w:color="auto"/>
            </w:tcBorders>
          </w:tcPr>
          <w:p w14:paraId="43F516F7" w14:textId="77777777" w:rsidR="003E317B" w:rsidRDefault="003E317B" w:rsidP="003C6A83">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57</w:t>
            </w:r>
          </w:p>
        </w:tc>
        <w:tc>
          <w:tcPr>
            <w:tcW w:w="1408" w:type="pct"/>
            <w:vMerge/>
          </w:tcPr>
          <w:p w14:paraId="2C7ED474"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p>
        </w:tc>
        <w:tc>
          <w:tcPr>
            <w:tcW w:w="680" w:type="pct"/>
            <w:gridSpan w:val="2"/>
            <w:vMerge/>
            <w:vAlign w:val="center"/>
          </w:tcPr>
          <w:p w14:paraId="18A92E00"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5AA52E57" w14:textId="77777777" w:rsidTr="003C6A83">
        <w:tc>
          <w:tcPr>
            <w:tcW w:w="680" w:type="pct"/>
            <w:vMerge/>
          </w:tcPr>
          <w:p w14:paraId="6835D230"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73CD62D6" w14:textId="77777777" w:rsidR="003E317B" w:rsidRPr="009D27C3" w:rsidRDefault="003E317B" w:rsidP="003C6A83">
            <w:pPr>
              <w:shd w:val="clear" w:color="auto" w:fill="FFFFFF"/>
              <w:spacing w:after="0"/>
              <w:jc w:val="left"/>
              <w:textAlignment w:val="baseline"/>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Te</w:t>
            </w:r>
            <w:r w:rsidRPr="00CA20E4">
              <w:rPr>
                <w:rFonts w:ascii="Calibri" w:eastAsia="Times New Roman" w:hAnsi="Calibri" w:cs="Calibri"/>
                <w:color w:val="000000"/>
                <w:sz w:val="20"/>
                <w:szCs w:val="20"/>
                <w:lang w:eastAsia="en-AU"/>
              </w:rPr>
              <w:t>aching methods, learning resources and learning activities will demonstrably meet the learning needs of all students, including Indigenous Australians, international students regardless of cultural background, mature age students, school leavers, students with disabilities and students who are the first in their family to study at university.</w:t>
            </w:r>
            <w:r>
              <w:rPr>
                <w:rFonts w:ascii="Calibri" w:eastAsia="Times New Roman" w:hAnsi="Calibri" w:cs="Calibri"/>
                <w:color w:val="000000"/>
                <w:sz w:val="20"/>
                <w:szCs w:val="20"/>
                <w:lang w:eastAsia="en-AU"/>
              </w:rPr>
              <w:t xml:space="preserve"> </w:t>
            </w:r>
            <w:hyperlink r:id="rId17" w:history="1">
              <w:r>
                <w:rPr>
                  <w:rStyle w:val="Hyperlink"/>
                  <w:rFonts w:asciiTheme="minorHAnsi" w:eastAsia="Times New Roman" w:hAnsiTheme="minorHAnsi" w:cstheme="minorHAnsi"/>
                  <w:sz w:val="20"/>
                  <w:szCs w:val="20"/>
                  <w:lang w:eastAsia="en-AU"/>
                </w:rPr>
                <w:t>CURRICULUM DESIGN AND DEVELOPMENT PROCEDURES</w:t>
              </w:r>
            </w:hyperlink>
          </w:p>
        </w:tc>
        <w:tc>
          <w:tcPr>
            <w:tcW w:w="291" w:type="pct"/>
            <w:tcBorders>
              <w:bottom w:val="single" w:sz="4" w:space="0" w:color="auto"/>
            </w:tcBorders>
          </w:tcPr>
          <w:p w14:paraId="29559F0F" w14:textId="77777777" w:rsidR="003E317B" w:rsidRDefault="003E317B" w:rsidP="003C6A83">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58</w:t>
            </w:r>
          </w:p>
        </w:tc>
        <w:tc>
          <w:tcPr>
            <w:tcW w:w="1408" w:type="pct"/>
            <w:vMerge/>
          </w:tcPr>
          <w:p w14:paraId="54C3CAE7"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p>
        </w:tc>
        <w:tc>
          <w:tcPr>
            <w:tcW w:w="680" w:type="pct"/>
            <w:gridSpan w:val="2"/>
            <w:vMerge/>
            <w:vAlign w:val="center"/>
          </w:tcPr>
          <w:p w14:paraId="764BF28E"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3F06D7C7" w14:textId="77777777" w:rsidTr="003C6A83">
        <w:tc>
          <w:tcPr>
            <w:tcW w:w="680" w:type="pct"/>
            <w:vMerge/>
            <w:tcBorders>
              <w:bottom w:val="single" w:sz="4" w:space="0" w:color="auto"/>
            </w:tcBorders>
          </w:tcPr>
          <w:p w14:paraId="0DEFAA15" w14:textId="77777777" w:rsidR="003E317B" w:rsidRPr="00526DC5" w:rsidRDefault="003E317B" w:rsidP="003C6A83">
            <w:pPr>
              <w:keepLines/>
              <w:spacing w:before="40" w:after="40"/>
              <w:jc w:val="left"/>
              <w:rPr>
                <w:rFonts w:asciiTheme="minorHAnsi" w:hAnsiTheme="minorHAnsi" w:cstheme="minorHAnsi"/>
                <w:sz w:val="20"/>
              </w:rPr>
            </w:pPr>
          </w:p>
        </w:tc>
        <w:tc>
          <w:tcPr>
            <w:tcW w:w="1941" w:type="pct"/>
            <w:tcBorders>
              <w:bottom w:val="single" w:sz="4" w:space="0" w:color="auto"/>
            </w:tcBorders>
          </w:tcPr>
          <w:p w14:paraId="3E5C9F60" w14:textId="77777777" w:rsidR="003E317B" w:rsidRPr="00907152" w:rsidRDefault="003E317B" w:rsidP="003C6A83">
            <w:pPr>
              <w:shd w:val="clear" w:color="auto" w:fill="FFFFFF"/>
              <w:spacing w:after="0"/>
              <w:jc w:val="left"/>
              <w:textAlignment w:val="baseline"/>
              <w:rPr>
                <w:rFonts w:asciiTheme="minorHAnsi" w:eastAsia="Times New Roman" w:hAnsiTheme="minorHAnsi" w:cstheme="minorHAnsi"/>
                <w:color w:val="000000"/>
                <w:sz w:val="20"/>
                <w:szCs w:val="20"/>
                <w:lang w:eastAsia="en-AU"/>
              </w:rPr>
            </w:pPr>
            <w:r w:rsidRPr="00DD0C89">
              <w:rPr>
                <w:rFonts w:ascii="Calibri" w:eastAsia="Times New Roman" w:hAnsi="Calibri" w:cs="Calibri"/>
                <w:color w:val="000000"/>
                <w:sz w:val="20"/>
                <w:szCs w:val="20"/>
                <w:lang w:eastAsia="en-AU"/>
              </w:rPr>
              <w:t>Teaching methods, learning resources and learning activities will minimise reliance on other units to develop prior knowledge and capabilities wherever possible</w:t>
            </w:r>
            <w:r>
              <w:rPr>
                <w:rFonts w:ascii="Calibri" w:eastAsia="Times New Roman" w:hAnsi="Calibri" w:cs="Calibri"/>
                <w:color w:val="000000"/>
                <w:sz w:val="20"/>
                <w:szCs w:val="20"/>
                <w:lang w:eastAsia="en-AU"/>
              </w:rPr>
              <w:t xml:space="preserve"> </w:t>
            </w:r>
            <w:hyperlink r:id="rId18" w:history="1">
              <w:r>
                <w:rPr>
                  <w:rStyle w:val="Hyperlink"/>
                  <w:rFonts w:asciiTheme="minorHAnsi" w:eastAsia="Times New Roman" w:hAnsiTheme="minorHAnsi" w:cstheme="minorHAnsi"/>
                  <w:sz w:val="20"/>
                  <w:szCs w:val="20"/>
                  <w:lang w:eastAsia="en-AU"/>
                </w:rPr>
                <w:t>CURRICULUM DESIGN AND DEVELOPMENT PROCEDURES</w:t>
              </w:r>
            </w:hyperlink>
          </w:p>
        </w:tc>
        <w:tc>
          <w:tcPr>
            <w:tcW w:w="291" w:type="pct"/>
            <w:tcBorders>
              <w:bottom w:val="single" w:sz="4" w:space="0" w:color="auto"/>
            </w:tcBorders>
          </w:tcPr>
          <w:p w14:paraId="025B051D" w14:textId="77777777" w:rsidR="003E317B" w:rsidRDefault="003E317B" w:rsidP="003C6A83">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59</w:t>
            </w:r>
          </w:p>
        </w:tc>
        <w:tc>
          <w:tcPr>
            <w:tcW w:w="1408" w:type="pct"/>
            <w:vMerge/>
            <w:tcBorders>
              <w:bottom w:val="single" w:sz="4" w:space="0" w:color="auto"/>
            </w:tcBorders>
          </w:tcPr>
          <w:p w14:paraId="78DFD7D6"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p>
        </w:tc>
        <w:tc>
          <w:tcPr>
            <w:tcW w:w="680" w:type="pct"/>
            <w:gridSpan w:val="2"/>
            <w:vMerge/>
            <w:tcBorders>
              <w:bottom w:val="single" w:sz="4" w:space="0" w:color="auto"/>
            </w:tcBorders>
            <w:vAlign w:val="center"/>
          </w:tcPr>
          <w:p w14:paraId="3E6836B0"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B22E81" w14:paraId="3FFAE31F" w14:textId="77777777" w:rsidTr="003C6A83">
        <w:tc>
          <w:tcPr>
            <w:tcW w:w="5000" w:type="pct"/>
            <w:gridSpan w:val="6"/>
            <w:tcBorders>
              <w:bottom w:val="single" w:sz="4" w:space="0" w:color="auto"/>
            </w:tcBorders>
            <w:shd w:val="clear" w:color="auto" w:fill="D9E2F3" w:themeFill="accent1" w:themeFillTint="33"/>
          </w:tcPr>
          <w:p w14:paraId="0490BEF8" w14:textId="77777777" w:rsidR="003E317B" w:rsidRPr="009D27C3" w:rsidRDefault="003E317B" w:rsidP="003C6A83">
            <w:pPr>
              <w:keepNext/>
              <w:keepLines/>
              <w:autoSpaceDE w:val="0"/>
              <w:autoSpaceDN w:val="0"/>
              <w:adjustRightInd w:val="0"/>
              <w:spacing w:before="40" w:after="40"/>
              <w:jc w:val="center"/>
              <w:rPr>
                <w:rFonts w:asciiTheme="minorHAnsi" w:hAnsiTheme="minorHAnsi" w:cstheme="minorHAnsi"/>
                <w:b/>
                <w:sz w:val="20"/>
              </w:rPr>
            </w:pPr>
            <w:r>
              <w:rPr>
                <w:rFonts w:asciiTheme="minorHAnsi" w:hAnsiTheme="minorHAnsi" w:cstheme="minorHAnsi"/>
                <w:b/>
                <w:sz w:val="20"/>
              </w:rPr>
              <w:lastRenderedPageBreak/>
              <w:t>Constructive Alignment Mapping</w:t>
            </w:r>
          </w:p>
        </w:tc>
      </w:tr>
      <w:tr w:rsidR="003E317B" w:rsidRPr="00526DC5" w14:paraId="18813B3A" w14:textId="77777777" w:rsidTr="003C6A83">
        <w:tc>
          <w:tcPr>
            <w:tcW w:w="680" w:type="pct"/>
          </w:tcPr>
          <w:p w14:paraId="16E7EA7D"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UCMS &gt; Section 6 &gt; Assessment</w:t>
            </w:r>
          </w:p>
          <w:p w14:paraId="5A1B8929"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41" w:type="pct"/>
          </w:tcPr>
          <w:p w14:paraId="6D69DC3C"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All assessment tasks are explicitly shown to assess achievement of the Unit Learning Outcomes</w:t>
            </w:r>
          </w:p>
        </w:tc>
        <w:tc>
          <w:tcPr>
            <w:tcW w:w="291" w:type="pct"/>
          </w:tcPr>
          <w:p w14:paraId="1132CAAF"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62</w:t>
            </w:r>
          </w:p>
        </w:tc>
        <w:tc>
          <w:tcPr>
            <w:tcW w:w="1408" w:type="pct"/>
          </w:tcPr>
          <w:p w14:paraId="649649CE"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assessment tasks to Unit Learning Outcomes</w:t>
            </w:r>
          </w:p>
          <w:p w14:paraId="749A4072" w14:textId="77777777" w:rsidR="003E317B" w:rsidRPr="00A47015" w:rsidRDefault="003E317B" w:rsidP="003E317B">
            <w:pPr>
              <w:pStyle w:val="ListParagraph"/>
              <w:numPr>
                <w:ilvl w:val="0"/>
                <w:numId w:val="1"/>
              </w:numPr>
              <w:spacing w:after="0" w:line="240" w:lineRule="auto"/>
              <w:ind w:left="311" w:hanging="215"/>
              <w:contextualSpacing w:val="0"/>
              <w:rPr>
                <w:sz w:val="20"/>
              </w:rPr>
            </w:pPr>
            <w:r w:rsidRPr="00A47015">
              <w:rPr>
                <w:sz w:val="20"/>
              </w:rPr>
              <w:t>the names of the Assessments</w:t>
            </w:r>
            <w:r>
              <w:rPr>
                <w:sz w:val="20"/>
              </w:rPr>
              <w:t xml:space="preserve"> are</w:t>
            </w:r>
            <w:r w:rsidRPr="00A47015">
              <w:rPr>
                <w:sz w:val="20"/>
              </w:rPr>
              <w:t xml:space="preserve"> the same as those within the unit reports</w:t>
            </w:r>
          </w:p>
          <w:p w14:paraId="5CA742BC" w14:textId="77777777" w:rsidR="003E317B" w:rsidRPr="00A47015" w:rsidRDefault="003E317B" w:rsidP="003E317B">
            <w:pPr>
              <w:pStyle w:val="ListParagraph"/>
              <w:numPr>
                <w:ilvl w:val="0"/>
                <w:numId w:val="1"/>
              </w:numPr>
              <w:spacing w:after="0" w:line="240" w:lineRule="auto"/>
              <w:ind w:left="311" w:hanging="215"/>
              <w:contextualSpacing w:val="0"/>
              <w:rPr>
                <w:sz w:val="20"/>
              </w:rPr>
            </w:pPr>
            <w:r w:rsidRPr="00A47015">
              <w:rPr>
                <w:sz w:val="20"/>
              </w:rPr>
              <w:t xml:space="preserve">there </w:t>
            </w:r>
            <w:r>
              <w:rPr>
                <w:sz w:val="20"/>
              </w:rPr>
              <w:t xml:space="preserve">are </w:t>
            </w:r>
            <w:r w:rsidRPr="00A47015">
              <w:rPr>
                <w:sz w:val="20"/>
              </w:rPr>
              <w:t>more than 3-4 assessments (this would also be noted when checking the unit reports)</w:t>
            </w:r>
          </w:p>
          <w:p w14:paraId="17B800BD" w14:textId="77777777" w:rsidR="003E317B" w:rsidRPr="00A47015" w:rsidRDefault="003E317B" w:rsidP="003E317B">
            <w:pPr>
              <w:pStyle w:val="ListParagraph"/>
              <w:numPr>
                <w:ilvl w:val="0"/>
                <w:numId w:val="1"/>
              </w:numPr>
              <w:spacing w:after="0" w:line="240" w:lineRule="auto"/>
              <w:ind w:left="311" w:hanging="215"/>
              <w:contextualSpacing w:val="0"/>
              <w:rPr>
                <w:sz w:val="20"/>
              </w:rPr>
            </w:pPr>
            <w:r w:rsidRPr="00A47015">
              <w:rPr>
                <w:sz w:val="20"/>
              </w:rPr>
              <w:t>assessments build in complexity within the unit</w:t>
            </w:r>
          </w:p>
          <w:p w14:paraId="09010F5B" w14:textId="77777777" w:rsidR="003E317B" w:rsidRPr="00A47015" w:rsidRDefault="003E317B" w:rsidP="003E317B">
            <w:pPr>
              <w:pStyle w:val="ListParagraph"/>
              <w:numPr>
                <w:ilvl w:val="0"/>
                <w:numId w:val="1"/>
              </w:numPr>
              <w:spacing w:after="0" w:line="240" w:lineRule="auto"/>
              <w:ind w:left="311" w:hanging="215"/>
              <w:contextualSpacing w:val="0"/>
              <w:rPr>
                <w:sz w:val="20"/>
              </w:rPr>
            </w:pPr>
            <w:r w:rsidRPr="00A47015">
              <w:rPr>
                <w:sz w:val="20"/>
              </w:rPr>
              <w:t>there</w:t>
            </w:r>
            <w:r>
              <w:rPr>
                <w:sz w:val="20"/>
              </w:rPr>
              <w:t xml:space="preserve"> are</w:t>
            </w:r>
            <w:r w:rsidRPr="00A47015">
              <w:rPr>
                <w:sz w:val="20"/>
              </w:rPr>
              <w:t xml:space="preserve"> more Level 1 tasks in early units and more Level 3 tasks in later units</w:t>
            </w:r>
          </w:p>
          <w:p w14:paraId="08B6CE7C"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p>
        </w:tc>
        <w:tc>
          <w:tcPr>
            <w:tcW w:w="680" w:type="pct"/>
            <w:gridSpan w:val="2"/>
            <w:vAlign w:val="center"/>
          </w:tcPr>
          <w:p w14:paraId="681C15E7"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129F5A3F" w14:textId="77777777" w:rsidTr="003C6A83">
        <w:tc>
          <w:tcPr>
            <w:tcW w:w="680" w:type="pct"/>
          </w:tcPr>
          <w:p w14:paraId="30C9E0A9"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41" w:type="pct"/>
          </w:tcPr>
          <w:p w14:paraId="4BBC7CE6"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 contribute to progressive development of Course Learning Outcomes in all courses for which the unit is a core unit</w:t>
            </w:r>
          </w:p>
        </w:tc>
        <w:tc>
          <w:tcPr>
            <w:tcW w:w="291" w:type="pct"/>
          </w:tcPr>
          <w:p w14:paraId="191064AA"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52c</w:t>
            </w:r>
          </w:p>
        </w:tc>
        <w:tc>
          <w:tcPr>
            <w:tcW w:w="1408" w:type="pct"/>
          </w:tcPr>
          <w:p w14:paraId="24F290D2"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Unit Learning Outcomes to Course Learning Outcomes demonstrates all CLOs are progressively developed at levels of emerging, increasing and attaining proficiency</w:t>
            </w:r>
          </w:p>
        </w:tc>
        <w:tc>
          <w:tcPr>
            <w:tcW w:w="680" w:type="pct"/>
            <w:gridSpan w:val="2"/>
            <w:vAlign w:val="center"/>
          </w:tcPr>
          <w:p w14:paraId="08AA9193"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44EF611B" w14:textId="77777777" w:rsidTr="003C6A83">
        <w:tc>
          <w:tcPr>
            <w:tcW w:w="680" w:type="pct"/>
          </w:tcPr>
          <w:p w14:paraId="0655CBF4"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ULO-MLO-alignment Sheet</w:t>
            </w:r>
          </w:p>
        </w:tc>
        <w:tc>
          <w:tcPr>
            <w:tcW w:w="1941" w:type="pct"/>
          </w:tcPr>
          <w:p w14:paraId="247DF16F"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 contribute to achievement of Minor or Major Learning Outcomes in all minors or majors with which the unit is associated</w:t>
            </w:r>
          </w:p>
        </w:tc>
        <w:tc>
          <w:tcPr>
            <w:tcW w:w="291" w:type="pct"/>
          </w:tcPr>
          <w:p w14:paraId="0EA40618"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52d</w:t>
            </w:r>
          </w:p>
        </w:tc>
        <w:tc>
          <w:tcPr>
            <w:tcW w:w="1408" w:type="pct"/>
          </w:tcPr>
          <w:p w14:paraId="458A873B"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Unit Learning Outcomes to Major or Minor Learning Outcomes</w:t>
            </w:r>
          </w:p>
        </w:tc>
        <w:tc>
          <w:tcPr>
            <w:tcW w:w="680" w:type="pct"/>
            <w:gridSpan w:val="2"/>
            <w:vAlign w:val="center"/>
          </w:tcPr>
          <w:p w14:paraId="6E72CB55"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622841AC" w14:textId="77777777" w:rsidTr="003C6A83">
        <w:tc>
          <w:tcPr>
            <w:tcW w:w="680" w:type="pct"/>
          </w:tcPr>
          <w:p w14:paraId="2E6D31EF"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41" w:type="pct"/>
          </w:tcPr>
          <w:p w14:paraId="2E217198"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 minimise duplication and repetition with other units</w:t>
            </w:r>
          </w:p>
        </w:tc>
        <w:tc>
          <w:tcPr>
            <w:tcW w:w="291" w:type="pct"/>
          </w:tcPr>
          <w:p w14:paraId="540FB0E7"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52e</w:t>
            </w:r>
          </w:p>
        </w:tc>
        <w:tc>
          <w:tcPr>
            <w:tcW w:w="1408" w:type="pct"/>
          </w:tcPr>
          <w:p w14:paraId="79028234"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Learning Outcomes for all core units</w:t>
            </w:r>
          </w:p>
        </w:tc>
        <w:tc>
          <w:tcPr>
            <w:tcW w:w="680" w:type="pct"/>
            <w:gridSpan w:val="2"/>
            <w:vAlign w:val="center"/>
          </w:tcPr>
          <w:p w14:paraId="704A017E"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6A660104" w14:textId="77777777" w:rsidTr="003C6A83">
        <w:tc>
          <w:tcPr>
            <w:tcW w:w="680" w:type="pct"/>
          </w:tcPr>
          <w:p w14:paraId="3D6C49E9"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ULO-Ass Alignment Sheet</w:t>
            </w:r>
          </w:p>
        </w:tc>
        <w:tc>
          <w:tcPr>
            <w:tcW w:w="1941" w:type="pct"/>
          </w:tcPr>
          <w:p w14:paraId="7E5C5518"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All assessment tasks are explicitly shown to assess achievement of the Unit Learning Outcomes</w:t>
            </w:r>
          </w:p>
        </w:tc>
        <w:tc>
          <w:tcPr>
            <w:tcW w:w="291" w:type="pct"/>
          </w:tcPr>
          <w:p w14:paraId="373977AD"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62</w:t>
            </w:r>
          </w:p>
        </w:tc>
        <w:tc>
          <w:tcPr>
            <w:tcW w:w="1408" w:type="pct"/>
          </w:tcPr>
          <w:p w14:paraId="32B0E85D"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assessment tasks to Unit Learning Outcomes</w:t>
            </w:r>
          </w:p>
        </w:tc>
        <w:tc>
          <w:tcPr>
            <w:tcW w:w="680" w:type="pct"/>
            <w:gridSpan w:val="2"/>
            <w:vAlign w:val="center"/>
          </w:tcPr>
          <w:p w14:paraId="47CEFA52"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35E8AEED" w14:textId="77777777" w:rsidTr="003C6A83">
        <w:tc>
          <w:tcPr>
            <w:tcW w:w="680" w:type="pct"/>
          </w:tcPr>
          <w:p w14:paraId="6641DF80"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41" w:type="pct"/>
          </w:tcPr>
          <w:p w14:paraId="082824AB"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The Level of Study reflects the specificity of learning within a discipline and cognitive complexity of intended learning outcomes in the context of the course(s) with which the unit is associated, based on the descriptors in Schedule A of the </w:t>
            </w:r>
            <w:hyperlink r:id="rId19" w:tgtFrame="_blank" w:history="1">
              <w:r w:rsidRPr="00526DC5">
                <w:rPr>
                  <w:rStyle w:val="Hyperlink"/>
                  <w:rFonts w:asciiTheme="minorHAnsi" w:hAnsiTheme="minorHAnsi" w:cstheme="minorHAnsi"/>
                  <w:sz w:val="20"/>
                </w:rPr>
                <w:t>Definitions (Academic) Policy</w:t>
              </w:r>
            </w:hyperlink>
          </w:p>
        </w:tc>
        <w:tc>
          <w:tcPr>
            <w:tcW w:w="291" w:type="pct"/>
          </w:tcPr>
          <w:p w14:paraId="07136E92"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54</w:t>
            </w:r>
          </w:p>
        </w:tc>
        <w:tc>
          <w:tcPr>
            <w:tcW w:w="1408" w:type="pct"/>
          </w:tcPr>
          <w:p w14:paraId="0F857E3B" w14:textId="77777777" w:rsidR="003E317B"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Level of Study noted on worksheet</w:t>
            </w:r>
          </w:p>
          <w:p w14:paraId="0F4850D6"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Levels at which Unit Learning Outcomes develop Course Learning Outcomes</w:t>
            </w:r>
          </w:p>
        </w:tc>
        <w:tc>
          <w:tcPr>
            <w:tcW w:w="680" w:type="pct"/>
            <w:gridSpan w:val="2"/>
            <w:shd w:val="clear" w:color="auto" w:fill="FFFFFF" w:themeFill="background1"/>
            <w:vAlign w:val="center"/>
          </w:tcPr>
          <w:p w14:paraId="6451EC72" w14:textId="77777777" w:rsidR="003E317B" w:rsidRPr="002161C9" w:rsidRDefault="003E317B" w:rsidP="003C6A83">
            <w:pPr>
              <w:keepLines/>
              <w:autoSpaceDE w:val="0"/>
              <w:autoSpaceDN w:val="0"/>
              <w:adjustRightInd w:val="0"/>
              <w:spacing w:before="40" w:after="40"/>
              <w:jc w:val="center"/>
              <w:rPr>
                <w:rFonts w:asciiTheme="minorHAnsi" w:hAnsiTheme="minorHAnsi" w:cstheme="minorHAnsi"/>
                <w:sz w:val="20"/>
                <w:highlight w:val="yellow"/>
              </w:rPr>
            </w:pPr>
          </w:p>
        </w:tc>
      </w:tr>
      <w:tr w:rsidR="003E317B" w:rsidRPr="00526DC5" w14:paraId="4905AEB5" w14:textId="77777777" w:rsidTr="003C6A83">
        <w:tc>
          <w:tcPr>
            <w:tcW w:w="680" w:type="pct"/>
            <w:tcBorders>
              <w:bottom w:val="single" w:sz="4" w:space="0" w:color="auto"/>
            </w:tcBorders>
          </w:tcPr>
          <w:p w14:paraId="3A8B87F3"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ULO-Ass Alignment Sheet</w:t>
            </w:r>
          </w:p>
        </w:tc>
        <w:tc>
          <w:tcPr>
            <w:tcW w:w="1941" w:type="pct"/>
            <w:tcBorders>
              <w:bottom w:val="single" w:sz="4" w:space="0" w:color="auto"/>
            </w:tcBorders>
          </w:tcPr>
          <w:p w14:paraId="15EB448E"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All assessment tasks are explicitly shown to minimise the potential for breaches of academic integrity</w:t>
            </w:r>
          </w:p>
        </w:tc>
        <w:tc>
          <w:tcPr>
            <w:tcW w:w="291" w:type="pct"/>
            <w:tcBorders>
              <w:bottom w:val="single" w:sz="4" w:space="0" w:color="auto"/>
            </w:tcBorders>
          </w:tcPr>
          <w:p w14:paraId="7DB1B5CD"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66</w:t>
            </w:r>
          </w:p>
        </w:tc>
        <w:tc>
          <w:tcPr>
            <w:tcW w:w="1408" w:type="pct"/>
            <w:tcBorders>
              <w:bottom w:val="single" w:sz="4" w:space="0" w:color="auto"/>
            </w:tcBorders>
          </w:tcPr>
          <w:p w14:paraId="25987ED9" w14:textId="77777777" w:rsidR="003E317B" w:rsidRPr="00455001" w:rsidRDefault="003E317B" w:rsidP="003C6A83">
            <w:pPr>
              <w:keepLines/>
              <w:autoSpaceDE w:val="0"/>
              <w:autoSpaceDN w:val="0"/>
              <w:adjustRightInd w:val="0"/>
              <w:spacing w:before="40" w:after="40"/>
              <w:jc w:val="left"/>
              <w:rPr>
                <w:rFonts w:asciiTheme="minorHAnsi" w:hAnsiTheme="minorHAnsi" w:cstheme="minorHAnsi"/>
                <w:sz w:val="20"/>
              </w:rPr>
            </w:pPr>
            <w:r w:rsidRPr="00455001">
              <w:rPr>
                <w:rFonts w:asciiTheme="minorHAnsi" w:hAnsiTheme="minorHAnsi" w:cstheme="minorHAnsi"/>
                <w:sz w:val="20"/>
              </w:rPr>
              <w:t>Detailed description of how this is the case.  there are clear explanations in the Rationale Statements as to how the assessments chosen:</w:t>
            </w:r>
          </w:p>
          <w:p w14:paraId="66470A98" w14:textId="77777777" w:rsidR="003E317B" w:rsidRPr="00455001" w:rsidRDefault="003E317B" w:rsidP="003E317B">
            <w:pPr>
              <w:pStyle w:val="ListParagraph"/>
              <w:numPr>
                <w:ilvl w:val="0"/>
                <w:numId w:val="1"/>
              </w:numPr>
              <w:spacing w:after="0" w:line="240" w:lineRule="auto"/>
              <w:ind w:left="311" w:hanging="215"/>
              <w:contextualSpacing w:val="0"/>
              <w:rPr>
                <w:rFonts w:cstheme="minorHAnsi"/>
                <w:sz w:val="20"/>
              </w:rPr>
            </w:pPr>
            <w:r w:rsidRPr="00455001">
              <w:rPr>
                <w:rFonts w:cstheme="minorHAnsi"/>
                <w:sz w:val="20"/>
              </w:rPr>
              <w:t>align with the identified LO?</w:t>
            </w:r>
          </w:p>
          <w:p w14:paraId="4E6E5929" w14:textId="77777777" w:rsidR="003E317B" w:rsidRPr="00455001" w:rsidRDefault="003E317B" w:rsidP="003E317B">
            <w:pPr>
              <w:pStyle w:val="ListParagraph"/>
              <w:numPr>
                <w:ilvl w:val="0"/>
                <w:numId w:val="1"/>
              </w:numPr>
              <w:spacing w:after="0" w:line="240" w:lineRule="auto"/>
              <w:ind w:left="311" w:hanging="215"/>
              <w:contextualSpacing w:val="0"/>
              <w:rPr>
                <w:rFonts w:cstheme="minorHAnsi"/>
                <w:sz w:val="20"/>
              </w:rPr>
            </w:pPr>
            <w:r w:rsidRPr="00455001">
              <w:rPr>
                <w:rFonts w:cstheme="minorHAnsi"/>
                <w:sz w:val="20"/>
              </w:rPr>
              <w:t>reduce the likelihood of academic integrity breaches?</w:t>
            </w:r>
          </w:p>
          <w:p w14:paraId="7A5F61F7" w14:textId="77777777" w:rsidR="003E317B" w:rsidRPr="00455001" w:rsidRDefault="003E317B" w:rsidP="003C6A83">
            <w:pPr>
              <w:keepLines/>
              <w:autoSpaceDE w:val="0"/>
              <w:autoSpaceDN w:val="0"/>
              <w:adjustRightInd w:val="0"/>
              <w:spacing w:before="40" w:after="40"/>
              <w:jc w:val="left"/>
              <w:rPr>
                <w:rFonts w:asciiTheme="minorHAnsi" w:hAnsiTheme="minorHAnsi" w:cstheme="minorHAnsi"/>
                <w:sz w:val="20"/>
              </w:rPr>
            </w:pPr>
            <w:r w:rsidRPr="00455001">
              <w:rPr>
                <w:rFonts w:asciiTheme="minorHAnsi" w:hAnsiTheme="minorHAnsi" w:cstheme="minorHAnsi"/>
                <w:sz w:val="20"/>
              </w:rPr>
              <w:t>align with the educational approach for the course</w:t>
            </w:r>
          </w:p>
        </w:tc>
        <w:tc>
          <w:tcPr>
            <w:tcW w:w="680" w:type="pct"/>
            <w:gridSpan w:val="2"/>
            <w:tcBorders>
              <w:bottom w:val="single" w:sz="4" w:space="0" w:color="auto"/>
            </w:tcBorders>
            <w:vAlign w:val="center"/>
          </w:tcPr>
          <w:p w14:paraId="383E4C66"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r w:rsidR="003E317B" w:rsidRPr="00526DC5" w14:paraId="4B3FEB73" w14:textId="77777777" w:rsidTr="003C6A83">
        <w:tc>
          <w:tcPr>
            <w:tcW w:w="680" w:type="pct"/>
            <w:shd w:val="clear" w:color="auto" w:fill="FFFFFF" w:themeFill="background1"/>
          </w:tcPr>
          <w:p w14:paraId="7A0C44CB" w14:textId="77777777" w:rsidR="003E317B" w:rsidRPr="00526DC5" w:rsidRDefault="003E317B" w:rsidP="003C6A83">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ULO-Ass Alignment Sheet</w:t>
            </w:r>
          </w:p>
        </w:tc>
        <w:tc>
          <w:tcPr>
            <w:tcW w:w="1941" w:type="pct"/>
            <w:shd w:val="clear" w:color="auto" w:fill="FFFFFF" w:themeFill="background1"/>
          </w:tcPr>
          <w:p w14:paraId="43B8274B"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 structure and content is consistent with the educational approach of the course(s) for which the unit is designed</w:t>
            </w:r>
          </w:p>
        </w:tc>
        <w:tc>
          <w:tcPr>
            <w:tcW w:w="291" w:type="pct"/>
            <w:shd w:val="clear" w:color="auto" w:fill="FFFFFF" w:themeFill="background1"/>
          </w:tcPr>
          <w:p w14:paraId="0AC8325B" w14:textId="77777777" w:rsidR="003E317B" w:rsidRPr="00526DC5" w:rsidRDefault="003E317B" w:rsidP="003C6A83">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55</w:t>
            </w:r>
          </w:p>
        </w:tc>
        <w:tc>
          <w:tcPr>
            <w:tcW w:w="1408" w:type="pct"/>
            <w:shd w:val="clear" w:color="auto" w:fill="FFFFFF" w:themeFill="background1"/>
          </w:tcPr>
          <w:p w14:paraId="3D4072D3" w14:textId="77777777" w:rsidR="003E317B" w:rsidRPr="00526DC5" w:rsidRDefault="003E317B" w:rsidP="003C6A83">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Rationale statement re alignment</w:t>
            </w:r>
          </w:p>
        </w:tc>
        <w:tc>
          <w:tcPr>
            <w:tcW w:w="680" w:type="pct"/>
            <w:gridSpan w:val="2"/>
            <w:shd w:val="clear" w:color="auto" w:fill="FFFFFF" w:themeFill="background1"/>
            <w:vAlign w:val="center"/>
          </w:tcPr>
          <w:p w14:paraId="6C81D11B" w14:textId="77777777" w:rsidR="003E317B" w:rsidRPr="00526DC5" w:rsidRDefault="003E317B" w:rsidP="003C6A83">
            <w:pPr>
              <w:keepLines/>
              <w:autoSpaceDE w:val="0"/>
              <w:autoSpaceDN w:val="0"/>
              <w:adjustRightInd w:val="0"/>
              <w:spacing w:before="40" w:after="40"/>
              <w:jc w:val="center"/>
              <w:rPr>
                <w:rFonts w:asciiTheme="minorHAnsi" w:hAnsiTheme="minorHAnsi" w:cstheme="minorHAnsi"/>
                <w:sz w:val="20"/>
              </w:rPr>
            </w:pPr>
          </w:p>
        </w:tc>
      </w:tr>
    </w:tbl>
    <w:p w14:paraId="6E387151" w14:textId="77777777" w:rsidR="003E317B" w:rsidRDefault="003E317B" w:rsidP="003E317B">
      <w:pPr>
        <w:rPr>
          <w:sz w:val="20"/>
        </w:rPr>
      </w:pPr>
    </w:p>
    <w:p w14:paraId="066028C4" w14:textId="77777777" w:rsidR="003E317B" w:rsidRDefault="003E317B" w:rsidP="003E317B">
      <w:pPr>
        <w:rPr>
          <w:sz w:val="20"/>
        </w:rPr>
      </w:pPr>
    </w:p>
    <w:p w14:paraId="32088FE4" w14:textId="77777777" w:rsidR="003E317B" w:rsidRPr="00A47015" w:rsidRDefault="003E317B" w:rsidP="003E317B">
      <w:pPr>
        <w:ind w:left="1004"/>
        <w:jc w:val="right"/>
        <w:rPr>
          <w:b/>
          <w:i/>
          <w:sz w:val="20"/>
        </w:rPr>
      </w:pPr>
      <w:r w:rsidRPr="00A47015">
        <w:rPr>
          <w:b/>
          <w:i/>
          <w:sz w:val="20"/>
        </w:rPr>
        <w:t xml:space="preserve">Remember:  The </w:t>
      </w:r>
      <w:hyperlink r:id="rId20" w:history="1">
        <w:r w:rsidRPr="00A47015">
          <w:rPr>
            <w:rStyle w:val="Hyperlink"/>
            <w:b/>
            <w:i/>
            <w:sz w:val="20"/>
          </w:rPr>
          <w:t>template instructions</w:t>
        </w:r>
      </w:hyperlink>
      <w:r w:rsidRPr="00A47015">
        <w:rPr>
          <w:b/>
          <w:i/>
          <w:sz w:val="20"/>
        </w:rPr>
        <w:t xml:space="preserve"> are a great source of detailed information to assist with the review!</w:t>
      </w:r>
    </w:p>
    <w:p w14:paraId="0D84E982" w14:textId="77777777" w:rsidR="003E317B" w:rsidRPr="00526DC5" w:rsidRDefault="003E317B" w:rsidP="003E317B">
      <w:pPr>
        <w:rPr>
          <w:sz w:val="20"/>
        </w:rPr>
      </w:pPr>
    </w:p>
    <w:p w14:paraId="3EFEE53C" w14:textId="77777777" w:rsidR="00FC5F54" w:rsidRDefault="00FC5F54"/>
    <w:sectPr w:rsidR="00FC5F54" w:rsidSect="002161C9">
      <w:footerReference w:type="default" r:id="rId2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398F7" w14:textId="77777777" w:rsidR="003E317B" w:rsidRDefault="003E317B" w:rsidP="003E317B">
      <w:pPr>
        <w:spacing w:after="0"/>
      </w:pPr>
      <w:r>
        <w:separator/>
      </w:r>
    </w:p>
  </w:endnote>
  <w:endnote w:type="continuationSeparator" w:id="0">
    <w:p w14:paraId="396BD552" w14:textId="77777777" w:rsidR="003E317B" w:rsidRDefault="003E317B" w:rsidP="003E3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Roboto Black">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468448"/>
      <w:docPartObj>
        <w:docPartGallery w:val="Page Numbers (Bottom of Page)"/>
        <w:docPartUnique/>
      </w:docPartObj>
    </w:sdtPr>
    <w:sdtEndPr>
      <w:rPr>
        <w:noProof/>
      </w:rPr>
    </w:sdtEndPr>
    <w:sdtContent>
      <w:p w14:paraId="49EE36F9" w14:textId="77777777" w:rsidR="003E317B" w:rsidRDefault="003E317B">
        <w:pPr>
          <w:pStyle w:val="Footer"/>
          <w:jc w:val="right"/>
        </w:pPr>
        <w:r>
          <w:fldChar w:fldCharType="begin"/>
        </w:r>
        <w:r>
          <w:instrText xml:space="preserve"> PAGE   \* MERGEFORMAT </w:instrText>
        </w:r>
        <w:r>
          <w:fldChar w:fldCharType="separate"/>
        </w:r>
        <w:r w:rsidR="007E3012">
          <w:rPr>
            <w:noProof/>
          </w:rPr>
          <w:t>2</w:t>
        </w:r>
        <w:r>
          <w:rPr>
            <w:noProof/>
          </w:rPr>
          <w:fldChar w:fldCharType="end"/>
        </w:r>
      </w:p>
    </w:sdtContent>
  </w:sdt>
  <w:p w14:paraId="52BFC67F" w14:textId="77777777" w:rsidR="003E317B" w:rsidRDefault="003E3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739E" w14:textId="77777777" w:rsidR="003E317B" w:rsidRDefault="003E317B" w:rsidP="003E317B">
      <w:pPr>
        <w:spacing w:after="0"/>
      </w:pPr>
      <w:r>
        <w:separator/>
      </w:r>
    </w:p>
  </w:footnote>
  <w:footnote w:type="continuationSeparator" w:id="0">
    <w:p w14:paraId="55116CFF" w14:textId="77777777" w:rsidR="003E317B" w:rsidRDefault="003E317B" w:rsidP="003E31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D2374"/>
    <w:multiLevelType w:val="hybridMultilevel"/>
    <w:tmpl w:val="CFC680FA"/>
    <w:lvl w:ilvl="0" w:tplc="B750E954">
      <w:numFmt w:val="bullet"/>
      <w:lvlText w:val="-"/>
      <w:lvlJc w:val="left"/>
      <w:pPr>
        <w:ind w:left="644" w:hanging="360"/>
      </w:pPr>
      <w:rPr>
        <w:rFonts w:ascii="Calibri" w:eastAsiaTheme="minorHAnsi" w:hAnsi="Calibri" w:cs="Calibri"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7B"/>
    <w:rsid w:val="003E317B"/>
    <w:rsid w:val="007E3012"/>
    <w:rsid w:val="00B7619D"/>
    <w:rsid w:val="00DF1274"/>
    <w:rsid w:val="00E832BF"/>
    <w:rsid w:val="00EA261E"/>
    <w:rsid w:val="00FC5F54"/>
    <w:rsid w:val="00FC6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37E4"/>
  <w15:chartTrackingRefBased/>
  <w15:docId w15:val="{CBEB75BB-4D9F-4648-8CC3-6D1B71E4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17B"/>
    <w:pPr>
      <w:spacing w:after="120" w:line="240" w:lineRule="auto"/>
      <w:jc w:val="both"/>
    </w:pPr>
    <w:rPr>
      <w:rFonts w:ascii="Open Sans" w:eastAsiaTheme="minorEastAsia" w:hAnsi="Open Sans"/>
      <w:szCs w:val="24"/>
    </w:rPr>
  </w:style>
  <w:style w:type="paragraph" w:styleId="Heading4">
    <w:name w:val="heading 4"/>
    <w:basedOn w:val="Normal"/>
    <w:next w:val="Normal"/>
    <w:link w:val="Heading4Char"/>
    <w:autoRedefine/>
    <w:uiPriority w:val="9"/>
    <w:unhideWhenUsed/>
    <w:qFormat/>
    <w:rsid w:val="003E317B"/>
    <w:pPr>
      <w:spacing w:before="120"/>
      <w:jc w:val="left"/>
      <w:outlineLvl w:val="3"/>
    </w:pPr>
    <w:rPr>
      <w:rFonts w:ascii="Roboto" w:eastAsiaTheme="majorEastAsia" w:hAnsi="Roboto" w:cstheme="majorBidi"/>
      <w:b/>
      <w:bCs/>
      <w:iCs/>
      <w:color w:val="005E86"/>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317B"/>
    <w:rPr>
      <w:rFonts w:ascii="Roboto" w:eastAsiaTheme="majorEastAsia" w:hAnsi="Roboto" w:cstheme="majorBidi"/>
      <w:b/>
      <w:bCs/>
      <w:iCs/>
      <w:color w:val="005E86"/>
      <w:sz w:val="40"/>
      <w:szCs w:val="24"/>
    </w:rPr>
  </w:style>
  <w:style w:type="table" w:styleId="TableGrid">
    <w:name w:val="Table Grid"/>
    <w:basedOn w:val="TableNormal"/>
    <w:uiPriority w:val="59"/>
    <w:rsid w:val="003E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17B"/>
    <w:pPr>
      <w:spacing w:after="200" w:line="276" w:lineRule="auto"/>
      <w:ind w:left="720"/>
      <w:contextualSpacing/>
      <w:jc w:val="left"/>
    </w:pPr>
    <w:rPr>
      <w:rFonts w:asciiTheme="minorHAnsi" w:hAnsiTheme="minorHAnsi"/>
      <w:szCs w:val="22"/>
      <w:lang w:eastAsia="en-AU"/>
    </w:rPr>
  </w:style>
  <w:style w:type="character" w:styleId="Hyperlink">
    <w:name w:val="Hyperlink"/>
    <w:basedOn w:val="DefaultParagraphFont"/>
    <w:uiPriority w:val="99"/>
    <w:unhideWhenUsed/>
    <w:rsid w:val="003E317B"/>
    <w:rPr>
      <w:color w:val="0563C1" w:themeColor="hyperlink"/>
      <w:u w:val="single"/>
    </w:rPr>
  </w:style>
  <w:style w:type="paragraph" w:styleId="Header">
    <w:name w:val="header"/>
    <w:basedOn w:val="Normal"/>
    <w:link w:val="HeaderChar"/>
    <w:uiPriority w:val="99"/>
    <w:unhideWhenUsed/>
    <w:rsid w:val="003E317B"/>
    <w:pPr>
      <w:tabs>
        <w:tab w:val="center" w:pos="4513"/>
        <w:tab w:val="right" w:pos="9026"/>
      </w:tabs>
      <w:spacing w:after="0"/>
    </w:pPr>
  </w:style>
  <w:style w:type="character" w:customStyle="1" w:styleId="HeaderChar">
    <w:name w:val="Header Char"/>
    <w:basedOn w:val="DefaultParagraphFont"/>
    <w:link w:val="Header"/>
    <w:uiPriority w:val="99"/>
    <w:rsid w:val="003E317B"/>
    <w:rPr>
      <w:rFonts w:ascii="Open Sans" w:eastAsiaTheme="minorEastAsia" w:hAnsi="Open Sans"/>
      <w:szCs w:val="24"/>
    </w:rPr>
  </w:style>
  <w:style w:type="paragraph" w:styleId="Footer">
    <w:name w:val="footer"/>
    <w:basedOn w:val="Normal"/>
    <w:link w:val="FooterChar"/>
    <w:uiPriority w:val="99"/>
    <w:unhideWhenUsed/>
    <w:rsid w:val="003E317B"/>
    <w:pPr>
      <w:tabs>
        <w:tab w:val="center" w:pos="4513"/>
        <w:tab w:val="right" w:pos="9026"/>
      </w:tabs>
      <w:spacing w:after="0"/>
    </w:pPr>
  </w:style>
  <w:style w:type="character" w:customStyle="1" w:styleId="FooterChar">
    <w:name w:val="Footer Char"/>
    <w:basedOn w:val="DefaultParagraphFont"/>
    <w:link w:val="Footer"/>
    <w:uiPriority w:val="99"/>
    <w:rsid w:val="003E317B"/>
    <w:rPr>
      <w:rFonts w:ascii="Open Sans" w:eastAsiaTheme="minorEastAsia" w:hAnsi="Open 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scu.edu.au/document/view-current.php?id=255" TargetMode="External"/><Relationship Id="rId18" Type="http://schemas.openxmlformats.org/officeDocument/2006/relationships/hyperlink" Target="https://policies.scu.edu.au/document/view-current.php?id=33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licies.scu.edu.au/document/view-current.php?id=66" TargetMode="External"/><Relationship Id="rId17" Type="http://schemas.openxmlformats.org/officeDocument/2006/relationships/hyperlink" Target="https://policies.scu.edu.au/document/view-current.php?id=330" TargetMode="External"/><Relationship Id="rId2" Type="http://schemas.openxmlformats.org/officeDocument/2006/relationships/customXml" Target="../customXml/item2.xml"/><Relationship Id="rId16" Type="http://schemas.openxmlformats.org/officeDocument/2006/relationships/hyperlink" Target="https://policies.scu.edu.au/document/view-current.php?id=330" TargetMode="External"/><Relationship Id="rId20" Type="http://schemas.openxmlformats.org/officeDocument/2006/relationships/hyperlink" Target="https://www.scu.edu.au/media/scueduau/staff/teaching-and-learning/constructive-alignment-course-mapping/Constructive-Alignment-template-instructions-Version-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scu.edu.au/document/view-current.php?id=90" TargetMode="External"/><Relationship Id="rId5" Type="http://schemas.openxmlformats.org/officeDocument/2006/relationships/styles" Target="styles.xml"/><Relationship Id="rId15" Type="http://schemas.openxmlformats.org/officeDocument/2006/relationships/hyperlink" Target="https://policies.scu.edu.au/document/view-current.php?id=330" TargetMode="External"/><Relationship Id="rId23" Type="http://schemas.openxmlformats.org/officeDocument/2006/relationships/theme" Target="theme/theme1.xml"/><Relationship Id="rId10" Type="http://schemas.openxmlformats.org/officeDocument/2006/relationships/hyperlink" Target="https://www.scu.edu.au/media/scueduau/staff/teaching-and-learning/constructive-alignment-course-mapping/Constructive-Alignment-template-instructions-Version-1.pdf" TargetMode="External"/><Relationship Id="rId19" Type="http://schemas.openxmlformats.org/officeDocument/2006/relationships/hyperlink" Target="https://policies.scu.edu.au/document/view-current.php?id=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scu.edu.au/document/view-current.php?id=3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19C9DED685149AF6F32EA6A4196A3" ma:contentTypeVersion="13" ma:contentTypeDescription="Create a new document." ma:contentTypeScope="" ma:versionID="eab1449ce426dddced2db3afaa50dff8">
  <xsd:schema xmlns:xsd="http://www.w3.org/2001/XMLSchema" xmlns:xs="http://www.w3.org/2001/XMLSchema" xmlns:p="http://schemas.microsoft.com/office/2006/metadata/properties" xmlns:ns3="12950e9b-1c6a-4a88-9420-a55c188b2157" xmlns:ns4="4df50861-af18-45b5-8cae-4477e9067da0" targetNamespace="http://schemas.microsoft.com/office/2006/metadata/properties" ma:root="true" ma:fieldsID="debaac161ad3390041fe4e9133e63392" ns3:_="" ns4:_="">
    <xsd:import namespace="12950e9b-1c6a-4a88-9420-a55c188b2157"/>
    <xsd:import namespace="4df50861-af18-45b5-8cae-4477e9067d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0e9b-1c6a-4a88-9420-a55c188b21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50861-af18-45b5-8cae-4477e9067d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BF960-9193-432E-AA33-C21C65CEC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0e9b-1c6a-4a88-9420-a55c188b2157"/>
    <ds:schemaRef ds:uri="4df50861-af18-45b5-8cae-4477e9067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72FA-6B62-465E-9846-1405AB98E496}">
  <ds:schemaRefs>
    <ds:schemaRef ds:uri="http://schemas.microsoft.com/sharepoint/v3/contenttype/forms"/>
  </ds:schemaRefs>
</ds:datastoreItem>
</file>

<file path=customXml/itemProps3.xml><?xml version="1.0" encoding="utf-8"?>
<ds:datastoreItem xmlns:ds="http://schemas.openxmlformats.org/officeDocument/2006/customXml" ds:itemID="{F9609A04-6A2E-4AC8-BBAC-0F0669795118}">
  <ds:schemaRefs>
    <ds:schemaRef ds:uri="12950e9b-1c6a-4a88-9420-a55c188b2157"/>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4df50861-af18-45b5-8cae-4477e9067da0"/>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8641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Bartlett</dc:creator>
  <cp:keywords/>
  <dc:description/>
  <cp:lastModifiedBy>Charmaine McGrath</cp:lastModifiedBy>
  <cp:revision>2</cp:revision>
  <dcterms:created xsi:type="dcterms:W3CDTF">2021-04-21T22:55:00Z</dcterms:created>
  <dcterms:modified xsi:type="dcterms:W3CDTF">2021-04-21T22:55:00Z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0x010100D5619C9DED685149AF6F32EA6A4196A3</vt:lpwstr>
  </property>
</Properties>
</file>